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Override PartName="/word/_rels/comments.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cs="Arial"/>
          <w:color w:val="5B5B5F"/>
          <w:sz w:val="32"/>
          <w:szCs w:val="32"/>
        </w:rPr>
      </w:pPr>
      <w:r>
        <w:rPr>
          <w:rFonts w:cs="Arial"/>
          <w:color w:val="5B5B5F"/>
          <w:sz w:val="32"/>
          <w:szCs w:val="32"/>
        </w:rPr>
      </w:r>
    </w:p>
    <w:p>
      <w:pPr>
        <w:pStyle w:val="Normal"/>
        <w:rPr>
          <w:rFonts w:cs="Arial"/>
          <w:color w:val="5B5B5F"/>
          <w:sz w:val="32"/>
          <w:szCs w:val="32"/>
        </w:rPr>
      </w:pPr>
      <w:r>
        <w:rPr>
          <w:rFonts w:cs="Arial"/>
          <w:color w:val="5B5B5F"/>
          <w:sz w:val="32"/>
          <w:szCs w:val="32"/>
        </w:rPr>
      </w:r>
    </w:p>
    <w:p>
      <w:pPr>
        <w:pStyle w:val="Normal"/>
        <w:rPr>
          <w:rFonts w:cs="Arial"/>
          <w:b/>
          <w:b/>
          <w:bCs/>
          <w:i/>
          <w:i/>
          <w:iCs/>
          <w:color w:val="FF0000"/>
          <w:szCs w:val="18"/>
        </w:rPr>
      </w:pPr>
      <w:commentRangeStart w:id="0"/>
      <w:r>
        <w:rPr>
          <w:rFonts w:cs="Arial"/>
          <w:color w:val="5B5B5F"/>
          <w:sz w:val="36"/>
          <w:szCs w:val="36"/>
        </w:rPr>
        <w:t>Aviso de</w:t>
      </w:r>
    </w:p>
    <w:p>
      <w:pPr>
        <w:pStyle w:val="Normal"/>
        <w:rPr>
          <w:rFonts w:cs="Arial"/>
          <w:color w:val="405CA1"/>
          <w:sz w:val="56"/>
          <w:szCs w:val="56"/>
        </w:rPr>
      </w:pPr>
      <w:r>
        <w:rPr>
          <w:rFonts w:cs="Arial"/>
          <w:color w:val="405CA1"/>
          <w:sz w:val="56"/>
          <w:szCs w:val="56"/>
        </w:rPr>
        <w:t xml:space="preserve">DISPENSA </w:t>
      </w:r>
    </w:p>
    <w:p>
      <w:pPr>
        <w:pStyle w:val="Normal"/>
        <w:rPr>
          <w:rFonts w:cs="Arial"/>
          <w:color w:val="405CA1"/>
          <w:sz w:val="56"/>
          <w:szCs w:val="56"/>
        </w:rPr>
      </w:pPr>
      <w:r>
        <w:rPr>
          <w:rFonts w:cs="Arial"/>
          <w:color w:val="405CA1"/>
          <w:sz w:val="56"/>
          <w:szCs w:val="56"/>
        </w:rPr>
        <w:t>ELETRÔNICA</w:t>
      </w:r>
      <w:commentRangeEnd w:id="0"/>
      <w:r>
        <w:commentReference w:id="0"/>
      </w:r>
      <w:r>
        <w:rPr>
          <w:rFonts w:cs="Arial"/>
          <w:color w:val="405CA1"/>
          <w:sz w:val="56"/>
          <w:szCs w:val="56"/>
        </w:rPr>
      </w:r>
    </w:p>
    <w:p>
      <w:pPr>
        <w:pStyle w:val="Normal"/>
        <w:rPr>
          <w:rFonts w:cs="Arial"/>
          <w:b/>
          <w:b/>
          <w:bCs/>
          <w:i/>
          <w:i/>
          <w:iCs/>
          <w:color w:val="5B5B5F"/>
          <w:sz w:val="32"/>
          <w:szCs w:val="32"/>
        </w:rPr>
      </w:pPr>
      <w:r>
        <w:rPr>
          <w:rFonts w:cs="Arial"/>
          <w:b/>
          <w:bCs/>
          <w:i/>
          <w:iCs/>
          <w:color w:val="5B5B5F"/>
          <w:sz w:val="32"/>
          <w:szCs w:val="32"/>
        </w:rPr>
        <w:t>114/2022</w:t>
      </w:r>
    </w:p>
    <w:p>
      <w:pPr>
        <w:pStyle w:val="Normal"/>
        <w:spacing w:lineRule="auto" w:line="259"/>
        <w:rPr>
          <w:rFonts w:cs="Arial"/>
          <w:b/>
          <w:b/>
          <w:bCs/>
          <w:color w:val="405CA1"/>
          <w:sz w:val="28"/>
          <w:szCs w:val="28"/>
        </w:rPr>
      </w:pPr>
      <w:r>
        <w:rPr>
          <w:rFonts w:cs="Arial"/>
          <w:b/>
          <w:bCs/>
          <w:color w:val="405CA1"/>
          <w:sz w:val="28"/>
          <w:szCs w:val="28"/>
        </w:rPr>
      </w:r>
    </w:p>
    <w:p>
      <w:pPr>
        <w:pStyle w:val="Normal"/>
        <w:spacing w:lineRule="auto" w:line="259"/>
        <w:rPr>
          <w:rFonts w:cs="Arial"/>
          <w:b/>
          <w:b/>
          <w:bCs/>
          <w:color w:val="405CA1"/>
          <w:sz w:val="28"/>
          <w:szCs w:val="28"/>
        </w:rPr>
      </w:pPr>
      <w:r>
        <w:rPr>
          <w:rFonts w:cs="Arial"/>
          <w:b/>
          <w:bCs/>
          <w:color w:val="405CA1"/>
          <w:sz w:val="28"/>
          <w:szCs w:val="28"/>
        </w:rPr>
      </w:r>
    </w:p>
    <w:p>
      <w:pPr>
        <w:pStyle w:val="Normal"/>
        <w:spacing w:lineRule="auto" w:line="259"/>
        <w:rPr>
          <w:rFonts w:cs="Arial"/>
          <w:b/>
          <w:b/>
          <w:bCs/>
          <w:color w:val="405CA1"/>
          <w:sz w:val="28"/>
          <w:szCs w:val="28"/>
        </w:rPr>
      </w:pPr>
      <w:r>
        <w:rPr>
          <w:rFonts w:cs="Arial"/>
          <w:b/>
          <w:bCs/>
          <w:color w:val="405CA1"/>
          <w:sz w:val="28"/>
          <w:szCs w:val="28"/>
        </w:rPr>
      </w:r>
    </w:p>
    <w:p>
      <w:pPr>
        <w:pStyle w:val="Normal"/>
        <w:spacing w:lineRule="auto" w:line="259"/>
        <w:rPr>
          <w:rFonts w:cs="Arial"/>
          <w:b/>
          <w:b/>
          <w:bCs/>
          <w:color w:val="405CA1"/>
          <w:sz w:val="32"/>
          <w:szCs w:val="32"/>
        </w:rPr>
      </w:pPr>
      <w:r>
        <w:rPr>
          <w:rFonts w:cs="Arial"/>
          <w:b/>
          <w:bCs/>
          <w:color w:val="405CA1"/>
          <w:sz w:val="32"/>
          <w:szCs w:val="32"/>
        </w:rPr>
        <w:t>CONTRATANTE (UASG)</w:t>
      </w:r>
    </w:p>
    <w:p>
      <w:pPr>
        <w:pStyle w:val="Normal"/>
        <w:rPr>
          <w:rFonts w:cs="Arial"/>
          <w:b/>
          <w:b/>
          <w:bCs/>
          <w:color w:val="5B5B5F"/>
          <w:sz w:val="28"/>
          <w:szCs w:val="28"/>
        </w:rPr>
      </w:pPr>
      <w:r>
        <w:rPr>
          <w:rFonts w:cs="Arial"/>
          <w:b/>
          <w:bCs/>
          <w:color w:val="5B5B5F"/>
          <w:sz w:val="28"/>
          <w:szCs w:val="28"/>
        </w:rPr>
        <w:t>4ª Brigada de Infantaria Leve de (160111)</w:t>
      </w:r>
    </w:p>
    <w:p>
      <w:pPr>
        <w:pStyle w:val="Normal"/>
        <w:rPr>
          <w:rFonts w:cs="Arial"/>
          <w:color w:val="5B5B5F"/>
          <w:sz w:val="32"/>
          <w:szCs w:val="32"/>
        </w:rPr>
      </w:pPr>
      <w:r>
        <w:rPr>
          <w:rFonts w:cs="Arial"/>
          <w:color w:val="5B5B5F"/>
          <w:sz w:val="32"/>
          <w:szCs w:val="32"/>
        </w:rPr>
      </w:r>
    </w:p>
    <w:p>
      <w:pPr>
        <w:pStyle w:val="Normal"/>
        <w:rPr>
          <w:rFonts w:cs="Arial"/>
          <w:b/>
          <w:b/>
          <w:bCs/>
          <w:color w:val="5B5B5F"/>
          <w:szCs w:val="20"/>
        </w:rPr>
      </w:pPr>
      <w:r>
        <w:rPr>
          <w:rFonts w:cs="Arial"/>
          <w:b/>
          <w:bCs/>
          <w:color w:val="405CA1"/>
          <w:sz w:val="32"/>
          <w:szCs w:val="32"/>
        </w:rPr>
        <w:t>OBJETO</w:t>
      </w:r>
    </w:p>
    <w:p>
      <w:pPr>
        <w:pStyle w:val="NormalWeb"/>
        <w:spacing w:lineRule="auto" w:line="240" w:before="280" w:after="0"/>
        <w:rPr>
          <w:rFonts w:ascii="Arial" w:hAnsi="Arial" w:cs="Arial"/>
          <w:b/>
          <w:b/>
          <w:bCs/>
          <w:color w:val="5B5B5F"/>
          <w:sz w:val="28"/>
          <w:szCs w:val="28"/>
        </w:rPr>
      </w:pPr>
      <w:r>
        <w:rPr>
          <w:rFonts w:cs="Arial" w:ascii="Arial" w:hAnsi="Arial"/>
          <w:b/>
          <w:bCs/>
          <w:color w:val="5B5B5F"/>
          <w:sz w:val="28"/>
          <w:szCs w:val="28"/>
        </w:rPr>
        <w:t>A contratação de serviço de revisão preventiva/corretiva, nos NoBreaks, que alimentam a rede elétrico Auditório do Cmdo 4ª Bda Inf L Mth.</w:t>
      </w:r>
    </w:p>
    <w:p>
      <w:pPr>
        <w:pStyle w:val="Normal"/>
        <w:rPr>
          <w:rFonts w:cs="Arial"/>
          <w:color w:val="5B5B5F"/>
          <w:sz w:val="32"/>
          <w:szCs w:val="32"/>
        </w:rPr>
      </w:pPr>
      <w:r>
        <w:rPr>
          <w:rFonts w:cs="Arial"/>
          <w:color w:val="5B5B5F"/>
          <w:sz w:val="32"/>
          <w:szCs w:val="32"/>
        </w:rPr>
      </w:r>
    </w:p>
    <w:p>
      <w:pPr>
        <w:pStyle w:val="Normal"/>
        <w:rPr>
          <w:rFonts w:cs="Arial"/>
          <w:b/>
          <w:b/>
          <w:bCs/>
          <w:color w:val="405CA1"/>
          <w:sz w:val="32"/>
          <w:szCs w:val="32"/>
        </w:rPr>
      </w:pPr>
      <w:r>
        <w:rPr>
          <w:rFonts w:cs="Arial"/>
          <w:b/>
          <w:bCs/>
          <w:color w:val="405CA1"/>
          <w:sz w:val="32"/>
          <w:szCs w:val="32"/>
        </w:rPr>
        <w:t>VALOR TOTAL DA CONTRATAÇÃO</w:t>
      </w:r>
      <w:bookmarkStart w:id="0" w:name="_GoBack"/>
      <w:bookmarkEnd w:id="0"/>
    </w:p>
    <w:p>
      <w:pPr>
        <w:pStyle w:val="Normal"/>
        <w:rPr>
          <w:rFonts w:cs="Arial"/>
          <w:b/>
          <w:b/>
          <w:bCs/>
          <w:color w:val="5B5B5F"/>
          <w:sz w:val="28"/>
          <w:szCs w:val="28"/>
        </w:rPr>
      </w:pPr>
      <w:r>
        <w:rPr>
          <w:rFonts w:cs="Arial"/>
          <w:b/>
          <w:bCs/>
          <w:color w:val="5B5B5F"/>
          <w:sz w:val="28"/>
          <w:szCs w:val="28"/>
        </w:rPr>
        <w:t>R$ 2.000,00</w:t>
      </w:r>
    </w:p>
    <w:p>
      <w:pPr>
        <w:pStyle w:val="Normal"/>
        <w:rPr>
          <w:rFonts w:cs="Arial"/>
          <w:color w:val="5B5B5F"/>
          <w:sz w:val="32"/>
          <w:szCs w:val="32"/>
        </w:rPr>
      </w:pPr>
      <w:r>
        <w:rPr>
          <w:rFonts w:cs="Arial"/>
          <w:color w:val="5B5B5F"/>
          <w:sz w:val="32"/>
          <w:szCs w:val="32"/>
        </w:rPr>
      </w:r>
    </w:p>
    <w:p>
      <w:pPr>
        <w:pStyle w:val="Normal"/>
        <w:rPr>
          <w:rFonts w:cs="Arial"/>
          <w:b/>
          <w:b/>
          <w:bCs/>
          <w:color w:val="405CA1"/>
          <w:sz w:val="32"/>
          <w:szCs w:val="32"/>
        </w:rPr>
      </w:pPr>
      <w:r>
        <w:rPr>
          <w:rFonts w:cs="Arial"/>
          <w:b/>
          <w:bCs/>
          <w:color w:val="405CA1"/>
          <w:sz w:val="32"/>
          <w:szCs w:val="32"/>
        </w:rPr>
        <w:t xml:space="preserve">PERÍODO DE PROPOSTAS </w:t>
      </w:r>
    </w:p>
    <w:p>
      <w:pPr>
        <w:pStyle w:val="Normal"/>
        <w:rPr/>
      </w:pPr>
      <w:r>
        <w:rPr>
          <w:rFonts w:cs="Arial"/>
          <w:color w:val="5B5B5F"/>
          <w:sz w:val="28"/>
          <w:szCs w:val="28"/>
        </w:rPr>
        <w:t xml:space="preserve">De </w:t>
      </w:r>
      <w:r>
        <w:rPr>
          <w:rFonts w:cs="Arial"/>
          <w:color w:val="5B5B5F"/>
          <w:sz w:val="28"/>
          <w:szCs w:val="28"/>
        </w:rPr>
        <w:t>05</w:t>
      </w:r>
      <w:r>
        <w:rPr>
          <w:rFonts w:cs="Arial"/>
          <w:color w:val="5B5B5F"/>
          <w:sz w:val="28"/>
          <w:szCs w:val="28"/>
        </w:rPr>
        <w:t>/</w:t>
      </w:r>
      <w:r>
        <w:rPr>
          <w:rFonts w:cs="Arial"/>
          <w:color w:val="5B5B5F"/>
          <w:sz w:val="28"/>
          <w:szCs w:val="28"/>
        </w:rPr>
        <w:t>07</w:t>
      </w:r>
      <w:r>
        <w:rPr>
          <w:rFonts w:cs="Arial"/>
          <w:color w:val="5B5B5F"/>
          <w:sz w:val="28"/>
          <w:szCs w:val="28"/>
        </w:rPr>
        <w:t>/202</w:t>
      </w:r>
      <w:r>
        <w:rPr>
          <w:rFonts w:cs="Arial"/>
          <w:color w:val="5B5B5F"/>
          <w:sz w:val="28"/>
          <w:szCs w:val="28"/>
        </w:rPr>
        <w:t>3</w:t>
      </w:r>
      <w:r>
        <w:rPr>
          <w:rFonts w:cs="Arial"/>
          <w:color w:val="5B5B5F"/>
          <w:sz w:val="28"/>
          <w:szCs w:val="28"/>
        </w:rPr>
        <w:t xml:space="preserve"> às 8h </w:t>
      </w:r>
    </w:p>
    <w:p>
      <w:pPr>
        <w:pStyle w:val="Normal"/>
        <w:rPr/>
      </w:pPr>
      <w:r>
        <w:rPr>
          <w:rFonts w:cs="Arial"/>
          <w:color w:val="5B5B5F"/>
          <w:sz w:val="28"/>
          <w:szCs w:val="28"/>
        </w:rPr>
        <w:t xml:space="preserve">Até </w:t>
      </w:r>
      <w:r>
        <w:rPr>
          <w:rFonts w:cs="Arial"/>
          <w:color w:val="5B5B5F"/>
          <w:sz w:val="28"/>
          <w:szCs w:val="28"/>
        </w:rPr>
        <w:t>07</w:t>
      </w:r>
      <w:r>
        <w:rPr>
          <w:rFonts w:cs="Arial"/>
          <w:color w:val="5B5B5F"/>
          <w:sz w:val="28"/>
          <w:szCs w:val="28"/>
        </w:rPr>
        <w:t>/</w:t>
      </w:r>
      <w:r>
        <w:rPr>
          <w:rFonts w:cs="Arial"/>
          <w:color w:val="5B5B5F"/>
          <w:sz w:val="28"/>
          <w:szCs w:val="28"/>
        </w:rPr>
        <w:t>07</w:t>
      </w:r>
      <w:r>
        <w:rPr>
          <w:rFonts w:cs="Arial"/>
          <w:color w:val="5B5B5F"/>
          <w:sz w:val="28"/>
          <w:szCs w:val="28"/>
        </w:rPr>
        <w:t>/202</w:t>
      </w:r>
      <w:r>
        <w:rPr>
          <w:rFonts w:cs="Arial"/>
          <w:color w:val="5B5B5F"/>
          <w:sz w:val="28"/>
          <w:szCs w:val="28"/>
        </w:rPr>
        <w:t>3</w:t>
      </w:r>
      <w:r>
        <w:rPr>
          <w:rFonts w:cs="Arial"/>
          <w:color w:val="5B5B5F"/>
          <w:sz w:val="28"/>
          <w:szCs w:val="28"/>
        </w:rPr>
        <w:t xml:space="preserve"> às 8h</w:t>
      </w:r>
    </w:p>
    <w:p>
      <w:pPr>
        <w:pStyle w:val="Normal"/>
        <w:rPr>
          <w:rFonts w:cs="Arial"/>
          <w:color w:val="5B5B5F"/>
          <w:sz w:val="32"/>
          <w:szCs w:val="32"/>
        </w:rPr>
      </w:pPr>
      <w:r>
        <w:rPr>
          <w:rFonts w:cs="Arial"/>
          <w:color w:val="5B5B5F"/>
          <w:sz w:val="32"/>
          <w:szCs w:val="32"/>
        </w:rPr>
      </w:r>
    </w:p>
    <w:p>
      <w:pPr>
        <w:pStyle w:val="Normal"/>
        <w:rPr>
          <w:rFonts w:cs="Arial"/>
          <w:b/>
          <w:b/>
          <w:bCs/>
          <w:color w:val="405CA1"/>
          <w:sz w:val="32"/>
          <w:szCs w:val="32"/>
        </w:rPr>
      </w:pPr>
      <w:r>
        <w:rPr>
          <w:rFonts w:cs="Arial"/>
          <w:b/>
          <w:bCs/>
          <w:color w:val="405CA1"/>
          <w:sz w:val="32"/>
          <w:szCs w:val="32"/>
        </w:rPr>
        <w:t>PERÍODO DE LANCES</w:t>
      </w:r>
    </w:p>
    <w:p>
      <w:pPr>
        <w:pStyle w:val="Normal"/>
        <w:rPr/>
      </w:pPr>
      <w:r>
        <w:rPr>
          <w:rFonts w:cs="Arial"/>
          <w:color w:val="5B5B5F"/>
          <w:sz w:val="28"/>
          <w:szCs w:val="28"/>
        </w:rPr>
        <w:t xml:space="preserve">De </w:t>
      </w:r>
      <w:r>
        <w:rPr>
          <w:rFonts w:cs="Arial"/>
          <w:color w:val="5B5B5F"/>
          <w:sz w:val="28"/>
          <w:szCs w:val="28"/>
        </w:rPr>
        <w:t>10</w:t>
      </w:r>
      <w:r>
        <w:rPr>
          <w:rFonts w:cs="Arial"/>
          <w:color w:val="5B5B5F"/>
          <w:sz w:val="28"/>
          <w:szCs w:val="28"/>
        </w:rPr>
        <w:t>/</w:t>
      </w:r>
      <w:r>
        <w:rPr>
          <w:rFonts w:cs="Arial"/>
          <w:color w:val="5B5B5F"/>
          <w:sz w:val="28"/>
          <w:szCs w:val="28"/>
        </w:rPr>
        <w:t>07</w:t>
      </w:r>
      <w:r>
        <w:rPr>
          <w:rFonts w:cs="Arial"/>
          <w:color w:val="5B5B5F"/>
          <w:sz w:val="28"/>
          <w:szCs w:val="28"/>
        </w:rPr>
        <w:t>/202</w:t>
      </w:r>
      <w:r>
        <w:rPr>
          <w:rFonts w:cs="Arial"/>
          <w:color w:val="5B5B5F"/>
          <w:sz w:val="28"/>
          <w:szCs w:val="28"/>
        </w:rPr>
        <w:t>3</w:t>
      </w:r>
      <w:r>
        <w:rPr>
          <w:rFonts w:cs="Arial"/>
          <w:color w:val="5B5B5F"/>
          <w:sz w:val="28"/>
          <w:szCs w:val="28"/>
        </w:rPr>
        <w:t xml:space="preserve"> às 8h</w:t>
      </w:r>
    </w:p>
    <w:p>
      <w:pPr>
        <w:pStyle w:val="Normal"/>
        <w:rPr/>
      </w:pPr>
      <w:r>
        <w:rPr>
          <w:rFonts w:cs="Arial"/>
          <w:color w:val="5B5B5F"/>
          <w:sz w:val="28"/>
          <w:szCs w:val="28"/>
        </w:rPr>
        <w:t xml:space="preserve">Até </w:t>
      </w:r>
      <w:r>
        <w:rPr>
          <w:rFonts w:cs="Arial"/>
          <w:color w:val="5B5B5F"/>
          <w:sz w:val="28"/>
          <w:szCs w:val="28"/>
        </w:rPr>
        <w:t>10</w:t>
      </w:r>
      <w:r>
        <w:rPr>
          <w:rFonts w:cs="Arial"/>
          <w:color w:val="5B5B5F"/>
          <w:sz w:val="28"/>
          <w:szCs w:val="28"/>
        </w:rPr>
        <w:t>/</w:t>
      </w:r>
      <w:r>
        <w:rPr>
          <w:rFonts w:cs="Arial"/>
          <w:color w:val="5B5B5F"/>
          <w:sz w:val="28"/>
          <w:szCs w:val="28"/>
        </w:rPr>
        <w:t>07</w:t>
      </w:r>
      <w:r>
        <w:rPr>
          <w:rFonts w:cs="Arial"/>
          <w:color w:val="5B5B5F"/>
          <w:sz w:val="28"/>
          <w:szCs w:val="28"/>
        </w:rPr>
        <w:t>/2022 às 14h</w:t>
      </w:r>
    </w:p>
    <w:p>
      <w:pPr>
        <w:pStyle w:val="Normal"/>
        <w:rPr>
          <w:rFonts w:cs="Arial"/>
          <w:b/>
          <w:b/>
          <w:bCs/>
          <w:color w:val="405CA1"/>
          <w:sz w:val="32"/>
          <w:szCs w:val="32"/>
        </w:rPr>
      </w:pPr>
      <w:r>
        <w:rPr>
          <w:rFonts w:cs="Arial"/>
          <w:b/>
          <w:bCs/>
          <w:color w:val="405CA1"/>
          <w:sz w:val="32"/>
          <w:szCs w:val="32"/>
        </w:rPr>
      </w:r>
    </w:p>
    <w:p>
      <w:pPr>
        <w:pStyle w:val="Normal"/>
        <w:rPr>
          <w:rFonts w:cs="Arial"/>
          <w:b/>
          <w:b/>
          <w:bCs/>
          <w:color w:val="405CA1"/>
          <w:sz w:val="32"/>
          <w:szCs w:val="32"/>
        </w:rPr>
      </w:pPr>
      <w:r>
        <w:rPr>
          <w:rFonts w:cs="Arial"/>
          <w:b/>
          <w:bCs/>
          <w:color w:val="405CA1"/>
          <w:sz w:val="32"/>
          <w:szCs w:val="32"/>
        </w:rPr>
        <w:t>PREFERÊNCIA ME/EPP/EQUIPARADAS</w:t>
      </w:r>
    </w:p>
    <w:p>
      <w:pPr>
        <w:pStyle w:val="Normal"/>
        <w:rPr>
          <w:rFonts w:cs="Arial"/>
          <w:b/>
          <w:b/>
          <w:bCs/>
          <w:color w:val="5B5B5F"/>
          <w:sz w:val="28"/>
          <w:szCs w:val="28"/>
        </w:rPr>
      </w:pPr>
      <w:r>
        <w:rPr>
          <w:rFonts w:cs="Arial"/>
          <w:b/>
          <w:bCs/>
          <w:color w:val="5B5B5F"/>
          <w:sz w:val="28"/>
          <w:szCs w:val="28"/>
        </w:rPr>
        <w:t>SIM</w:t>
      </w:r>
    </w:p>
    <w:p>
      <w:pPr>
        <w:pStyle w:val="Normal"/>
        <w:spacing w:lineRule="auto" w:line="259" w:before="0" w:after="160"/>
        <w:rPr>
          <w:rFonts w:ascii="Rawline" w:hAnsi="Rawline" w:cs="Arial"/>
          <w:color w:val="FF0000"/>
          <w:sz w:val="22"/>
          <w:szCs w:val="22"/>
        </w:rPr>
      </w:pPr>
      <w:r>
        <w:rPr>
          <w:rFonts w:cs="Arial" w:ascii="Rawline" w:hAnsi="Rawline"/>
          <w:color w:val="FF0000"/>
          <w:sz w:val="22"/>
          <w:szCs w:val="22"/>
        </w:rPr>
      </w:r>
    </w:p>
    <w:p>
      <w:pPr>
        <w:pStyle w:val="Normal"/>
        <w:spacing w:lineRule="auto" w:line="276"/>
        <w:jc w:val="center"/>
        <w:rPr>
          <w:rFonts w:ascii="Rawline" w:hAnsi="Rawline" w:cs="Arial"/>
          <w:color w:val="FF0000"/>
          <w:sz w:val="22"/>
          <w:szCs w:val="22"/>
        </w:rPr>
      </w:pPr>
      <w:r>
        <w:rPr>
          <w:rFonts w:cs="Arial" w:ascii="Rawline" w:hAnsi="Rawline"/>
          <w:color w:val="FF0000"/>
          <w:sz w:val="22"/>
          <w:szCs w:val="22"/>
        </w:rPr>
      </w:r>
    </w:p>
    <w:p>
      <w:pPr>
        <w:pStyle w:val="Normal"/>
        <w:spacing w:lineRule="auto" w:line="259" w:before="0" w:after="160"/>
        <w:rPr>
          <w:rFonts w:ascii="Rawline" w:hAnsi="Rawline" w:cs="Arial"/>
          <w:color w:val="FF0000"/>
          <w:sz w:val="22"/>
          <w:szCs w:val="22"/>
        </w:rPr>
      </w:pPr>
      <w:r>
        <w:rPr>
          <w:rFonts w:cs="Arial" w:ascii="Rawline" w:hAnsi="Rawline"/>
          <w:color w:val="FF0000"/>
          <w:sz w:val="22"/>
          <w:szCs w:val="22"/>
        </w:rPr>
      </w:r>
    </w:p>
    <w:sdt>
      <w:sdtPr>
        <w:docPartObj>
          <w:docPartGallery w:val="Table of Contents"/>
          <w:docPartUnique w:val="true"/>
        </w:docPartObj>
      </w:sdtPr>
      <w:sdtContent>
        <w:p>
          <w:pPr>
            <w:pStyle w:val="TOCHeading"/>
            <w:rPr>
              <w:rFonts w:ascii="Arial" w:hAnsi="Arial" w:cs="Arial"/>
              <w:sz w:val="22"/>
              <w:szCs w:val="22"/>
            </w:rPr>
          </w:pPr>
          <w:r>
            <w:br w:type="page"/>
          </w:r>
          <w:r>
            <w:rPr>
              <w:rFonts w:cs="Arial" w:ascii="Arial" w:hAnsi="Arial"/>
              <w:sz w:val="22"/>
              <w:szCs w:val="22"/>
            </w:rPr>
            <w:t>Sumário</w:t>
          </w:r>
        </w:p>
        <w:p>
          <w:pPr>
            <w:pStyle w:val="Normal"/>
            <w:rPr/>
          </w:pPr>
          <w:r>
            <w:rPr/>
          </w:r>
        </w:p>
        <w:p>
          <w:pPr>
            <w:pStyle w:val="Sumrio1"/>
            <w:tabs>
              <w:tab w:val="clear" w:pos="708"/>
              <w:tab w:val="left" w:pos="440" w:leader="none"/>
              <w:tab w:val="right" w:pos="9736" w:leader="dot"/>
            </w:tabs>
            <w:rPr>
              <w:rFonts w:eastAsia="" w:cs="Arial" w:eastAsiaTheme="minorEastAsia"/>
              <w:sz w:val="22"/>
              <w:szCs w:val="22"/>
            </w:rPr>
          </w:pPr>
          <w:r>
            <w:fldChar w:fldCharType="begin"/>
          </w:r>
          <w:r>
            <w:rPr>
              <w:webHidden/>
              <w:rStyle w:val="Vnculodendice"/>
              <w:sz w:val="22"/>
              <w:b/>
              <w:szCs w:val="22"/>
              <w:vanish w:val="false"/>
              <w:rFonts w:eastAsia="Calibri" w:cs="Arial"/>
            </w:rPr>
            <w:instrText> TOC \z \o "1-3" \u \h</w:instrText>
          </w:r>
          <w:r>
            <w:rPr>
              <w:webHidden/>
              <w:rStyle w:val="Vnculodendice"/>
              <w:sz w:val="22"/>
              <w:b/>
              <w:szCs w:val="22"/>
              <w:vanish w:val="false"/>
              <w:rFonts w:eastAsia="Calibri" w:cs="Arial"/>
            </w:rPr>
            <w:fldChar w:fldCharType="separate"/>
          </w:r>
          <w:hyperlink w:anchor="_Toc104906818">
            <w:r>
              <w:rPr>
                <w:webHidden/>
                <w:rStyle w:val="Vnculodendice"/>
                <w:rFonts w:eastAsia="Calibri" w:cs="Arial"/>
                <w:b/>
                <w:vanish w:val="false"/>
                <w:sz w:val="22"/>
                <w:szCs w:val="22"/>
              </w:rPr>
              <w:t>1.</w:t>
            </w:r>
            <w:r>
              <w:rPr>
                <w:rStyle w:val="Vnculodendice"/>
                <w:rFonts w:eastAsia="" w:cs="Arial" w:eastAsiaTheme="minorEastAsia"/>
                <w:sz w:val="22"/>
                <w:szCs w:val="22"/>
              </w:rPr>
              <w:tab/>
            </w:r>
            <w:r>
              <w:rPr>
                <w:rStyle w:val="Vnculodendice"/>
                <w:rFonts w:eastAsia="Calibri" w:cs="Arial"/>
                <w:sz w:val="22"/>
                <w:szCs w:val="22"/>
              </w:rPr>
              <w:t>OBJETO DA CONTRATAÇÃO DIRETA</w:t>
            </w:r>
            <w:r>
              <w:rPr>
                <w:webHidden/>
              </w:rPr>
              <w:fldChar w:fldCharType="begin"/>
            </w:r>
            <w:r>
              <w:rPr>
                <w:webHidden/>
              </w:rPr>
              <w:instrText>PAGEREF _Toc104906818 \h</w:instrText>
            </w:r>
            <w:r>
              <w:rPr>
                <w:webHidden/>
              </w:rPr>
              <w:fldChar w:fldCharType="separate"/>
            </w:r>
            <w:r>
              <w:rPr>
                <w:rStyle w:val="Vnculodendice"/>
                <w:rFonts w:cs="Arial"/>
                <w:sz w:val="22"/>
                <w:szCs w:val="22"/>
              </w:rPr>
              <w:tab/>
              <w:t>3</w:t>
            </w:r>
            <w:r>
              <w:rPr>
                <w:webHidden/>
              </w:rPr>
              <w:fldChar w:fldCharType="end"/>
            </w:r>
          </w:hyperlink>
        </w:p>
        <w:p>
          <w:pPr>
            <w:pStyle w:val="Sumrio1"/>
            <w:tabs>
              <w:tab w:val="clear" w:pos="708"/>
              <w:tab w:val="left" w:pos="440" w:leader="none"/>
              <w:tab w:val="right" w:pos="9736" w:leader="dot"/>
            </w:tabs>
            <w:rPr>
              <w:rFonts w:eastAsia="" w:cs="Arial" w:eastAsiaTheme="minorEastAsia"/>
              <w:sz w:val="22"/>
              <w:szCs w:val="22"/>
            </w:rPr>
          </w:pPr>
          <w:hyperlink w:anchor="_Toc104906819">
            <w:r>
              <w:rPr>
                <w:webHidden/>
                <w:rStyle w:val="Vnculodendice"/>
                <w:rFonts w:eastAsia="Calibri" w:cs="Arial"/>
                <w:b/>
                <w:vanish w:val="false"/>
                <w:sz w:val="22"/>
                <w:szCs w:val="22"/>
              </w:rPr>
              <w:t>2.</w:t>
            </w:r>
            <w:r>
              <w:rPr>
                <w:rStyle w:val="Vnculodendice"/>
                <w:rFonts w:eastAsia="" w:cs="Arial" w:eastAsiaTheme="minorEastAsia"/>
                <w:sz w:val="22"/>
                <w:szCs w:val="22"/>
              </w:rPr>
              <w:tab/>
            </w:r>
            <w:r>
              <w:rPr>
                <w:rStyle w:val="Vnculodendice"/>
                <w:rFonts w:eastAsia="Calibri" w:cs="Arial"/>
                <w:sz w:val="22"/>
                <w:szCs w:val="22"/>
              </w:rPr>
              <w:t>PARTICIPAÇÃO NA DISPENSA ELETRÔNICA.</w:t>
            </w:r>
            <w:r>
              <w:rPr>
                <w:webHidden/>
              </w:rPr>
              <w:fldChar w:fldCharType="begin"/>
            </w:r>
            <w:r>
              <w:rPr>
                <w:webHidden/>
              </w:rPr>
              <w:instrText>PAGEREF _Toc104906819 \h</w:instrText>
            </w:r>
            <w:r>
              <w:rPr>
                <w:webHidden/>
              </w:rPr>
              <w:fldChar w:fldCharType="separate"/>
            </w:r>
            <w:r>
              <w:rPr>
                <w:rStyle w:val="Vnculodendice"/>
                <w:rFonts w:cs="Arial"/>
                <w:sz w:val="22"/>
                <w:szCs w:val="22"/>
              </w:rPr>
              <w:tab/>
              <w:t>4</w:t>
            </w:r>
            <w:r>
              <w:rPr>
                <w:webHidden/>
              </w:rPr>
              <w:fldChar w:fldCharType="end"/>
            </w:r>
          </w:hyperlink>
        </w:p>
        <w:p>
          <w:pPr>
            <w:pStyle w:val="Sumrio1"/>
            <w:tabs>
              <w:tab w:val="clear" w:pos="708"/>
              <w:tab w:val="left" w:pos="440" w:leader="none"/>
              <w:tab w:val="right" w:pos="9736" w:leader="dot"/>
            </w:tabs>
            <w:rPr>
              <w:rFonts w:eastAsia="" w:cs="Arial" w:eastAsiaTheme="minorEastAsia"/>
              <w:sz w:val="22"/>
              <w:szCs w:val="22"/>
            </w:rPr>
          </w:pPr>
          <w:hyperlink w:anchor="_Toc104906820">
            <w:r>
              <w:rPr>
                <w:webHidden/>
                <w:rStyle w:val="Vnculodendice"/>
                <w:rFonts w:eastAsia="Calibri" w:cs="Arial"/>
                <w:b/>
                <w:vanish w:val="false"/>
                <w:sz w:val="22"/>
                <w:szCs w:val="22"/>
              </w:rPr>
              <w:t>3.</w:t>
            </w:r>
            <w:r>
              <w:rPr>
                <w:rStyle w:val="Vnculodendice"/>
                <w:rFonts w:eastAsia="" w:cs="Arial" w:eastAsiaTheme="minorEastAsia"/>
                <w:sz w:val="22"/>
                <w:szCs w:val="22"/>
              </w:rPr>
              <w:tab/>
            </w:r>
            <w:r>
              <w:rPr>
                <w:rStyle w:val="Vnculodendice"/>
                <w:rFonts w:eastAsia="Calibri" w:cs="Arial"/>
                <w:sz w:val="22"/>
                <w:szCs w:val="22"/>
              </w:rPr>
              <w:t>INGRESSO NA DISPENSA ELETRÔNICA E CADASTRAMENTO DA PROPOSTA INICIAL</w:t>
            </w:r>
            <w:r>
              <w:rPr>
                <w:webHidden/>
              </w:rPr>
              <w:fldChar w:fldCharType="begin"/>
            </w:r>
            <w:r>
              <w:rPr>
                <w:webHidden/>
              </w:rPr>
              <w:instrText>PAGEREF _Toc104906820 \h</w:instrText>
            </w:r>
            <w:r>
              <w:rPr>
                <w:webHidden/>
              </w:rPr>
              <w:fldChar w:fldCharType="separate"/>
            </w:r>
            <w:r>
              <w:rPr>
                <w:rStyle w:val="Vnculodendice"/>
                <w:rFonts w:cs="Arial"/>
                <w:sz w:val="22"/>
                <w:szCs w:val="22"/>
              </w:rPr>
              <w:tab/>
              <w:t>5</w:t>
            </w:r>
            <w:r>
              <w:rPr>
                <w:webHidden/>
              </w:rPr>
              <w:fldChar w:fldCharType="end"/>
            </w:r>
          </w:hyperlink>
        </w:p>
        <w:p>
          <w:pPr>
            <w:pStyle w:val="Sumrio1"/>
            <w:tabs>
              <w:tab w:val="clear" w:pos="708"/>
              <w:tab w:val="left" w:pos="440" w:leader="none"/>
              <w:tab w:val="right" w:pos="9736" w:leader="dot"/>
            </w:tabs>
            <w:rPr>
              <w:rFonts w:eastAsia="" w:cs="Arial" w:eastAsiaTheme="minorEastAsia"/>
              <w:sz w:val="22"/>
              <w:szCs w:val="22"/>
            </w:rPr>
          </w:pPr>
          <w:hyperlink w:anchor="_Toc104906821">
            <w:r>
              <w:rPr>
                <w:webHidden/>
                <w:rStyle w:val="Vnculodendice"/>
                <w:rFonts w:eastAsia="Calibri" w:cs="Arial"/>
                <w:b/>
                <w:vanish w:val="false"/>
                <w:sz w:val="22"/>
                <w:szCs w:val="22"/>
              </w:rPr>
              <w:t>4.</w:t>
            </w:r>
            <w:r>
              <w:rPr>
                <w:rStyle w:val="Vnculodendice"/>
                <w:rFonts w:eastAsia="" w:cs="Arial" w:eastAsiaTheme="minorEastAsia"/>
                <w:sz w:val="22"/>
                <w:szCs w:val="22"/>
              </w:rPr>
              <w:tab/>
            </w:r>
            <w:r>
              <w:rPr>
                <w:rStyle w:val="Vnculodendice"/>
                <w:rFonts w:eastAsia="Calibri" w:cs="Arial"/>
                <w:sz w:val="22"/>
                <w:szCs w:val="22"/>
              </w:rPr>
              <w:t>FASE DE LANCES</w:t>
            </w:r>
            <w:r>
              <w:rPr>
                <w:webHidden/>
              </w:rPr>
              <w:fldChar w:fldCharType="begin"/>
            </w:r>
            <w:r>
              <w:rPr>
                <w:webHidden/>
              </w:rPr>
              <w:instrText>PAGEREF _Toc104906821 \h</w:instrText>
            </w:r>
            <w:r>
              <w:rPr>
                <w:webHidden/>
              </w:rPr>
              <w:fldChar w:fldCharType="separate"/>
            </w:r>
            <w:r>
              <w:rPr>
                <w:rStyle w:val="Vnculodendice"/>
                <w:rFonts w:cs="Arial"/>
                <w:sz w:val="22"/>
                <w:szCs w:val="22"/>
              </w:rPr>
              <w:tab/>
              <w:t>7</w:t>
            </w:r>
            <w:r>
              <w:rPr>
                <w:webHidden/>
              </w:rPr>
              <w:fldChar w:fldCharType="end"/>
            </w:r>
          </w:hyperlink>
        </w:p>
        <w:p>
          <w:pPr>
            <w:pStyle w:val="Sumrio1"/>
            <w:tabs>
              <w:tab w:val="clear" w:pos="708"/>
              <w:tab w:val="left" w:pos="440" w:leader="none"/>
              <w:tab w:val="right" w:pos="9736" w:leader="dot"/>
            </w:tabs>
            <w:rPr>
              <w:rFonts w:eastAsia="" w:cs="Arial" w:eastAsiaTheme="minorEastAsia"/>
              <w:sz w:val="22"/>
              <w:szCs w:val="22"/>
            </w:rPr>
          </w:pPr>
          <w:hyperlink w:anchor="_Toc104906822">
            <w:r>
              <w:rPr>
                <w:webHidden/>
                <w:rStyle w:val="Vnculodendice"/>
                <w:rFonts w:eastAsia="Calibri" w:cs="Arial"/>
                <w:b/>
                <w:vanish w:val="false"/>
                <w:sz w:val="22"/>
                <w:szCs w:val="22"/>
              </w:rPr>
              <w:t>5.</w:t>
            </w:r>
            <w:r>
              <w:rPr>
                <w:rStyle w:val="Vnculodendice"/>
                <w:rFonts w:eastAsia="" w:cs="Arial" w:eastAsiaTheme="minorEastAsia"/>
                <w:sz w:val="22"/>
                <w:szCs w:val="22"/>
              </w:rPr>
              <w:tab/>
            </w:r>
            <w:r>
              <w:rPr>
                <w:rStyle w:val="Vnculodendice"/>
                <w:rFonts w:eastAsia="Calibri" w:cs="Arial"/>
                <w:sz w:val="22"/>
                <w:szCs w:val="22"/>
              </w:rPr>
              <w:t>JULGAMENTO DAS PROPOSTAS DE PREÇO</w:t>
            </w:r>
            <w:r>
              <w:rPr>
                <w:webHidden/>
              </w:rPr>
              <w:fldChar w:fldCharType="begin"/>
            </w:r>
            <w:r>
              <w:rPr>
                <w:webHidden/>
              </w:rPr>
              <w:instrText>PAGEREF _Toc104906822 \h</w:instrText>
            </w:r>
            <w:r>
              <w:rPr>
                <w:webHidden/>
              </w:rPr>
              <w:fldChar w:fldCharType="separate"/>
            </w:r>
            <w:r>
              <w:rPr>
                <w:rStyle w:val="Vnculodendice"/>
                <w:rFonts w:cs="Arial"/>
                <w:sz w:val="22"/>
                <w:szCs w:val="22"/>
              </w:rPr>
              <w:tab/>
              <w:t>8</w:t>
            </w:r>
            <w:r>
              <w:rPr>
                <w:webHidden/>
              </w:rPr>
              <w:fldChar w:fldCharType="end"/>
            </w:r>
          </w:hyperlink>
        </w:p>
        <w:p>
          <w:pPr>
            <w:pStyle w:val="Sumrio1"/>
            <w:tabs>
              <w:tab w:val="clear" w:pos="708"/>
              <w:tab w:val="left" w:pos="440" w:leader="none"/>
              <w:tab w:val="right" w:pos="9736" w:leader="dot"/>
            </w:tabs>
            <w:rPr>
              <w:rFonts w:eastAsia="" w:cs="Arial" w:eastAsiaTheme="minorEastAsia"/>
              <w:sz w:val="22"/>
              <w:szCs w:val="22"/>
            </w:rPr>
          </w:pPr>
          <w:hyperlink w:anchor="_Toc104906823">
            <w:r>
              <w:rPr>
                <w:webHidden/>
                <w:rStyle w:val="Vnculodendice"/>
                <w:rFonts w:eastAsia="Calibri" w:cs="Arial"/>
                <w:b/>
                <w:vanish w:val="false"/>
                <w:sz w:val="22"/>
                <w:szCs w:val="22"/>
              </w:rPr>
              <w:t>6.</w:t>
            </w:r>
            <w:r>
              <w:rPr>
                <w:rStyle w:val="Vnculodendice"/>
                <w:rFonts w:eastAsia="" w:cs="Arial" w:eastAsiaTheme="minorEastAsia"/>
                <w:sz w:val="22"/>
                <w:szCs w:val="22"/>
              </w:rPr>
              <w:tab/>
            </w:r>
            <w:r>
              <w:rPr>
                <w:rStyle w:val="Vnculodendice"/>
                <w:rFonts w:eastAsia="Calibri" w:cs="Arial"/>
                <w:sz w:val="22"/>
                <w:szCs w:val="22"/>
              </w:rPr>
              <w:t>HABILITAÇÃO</w:t>
            </w:r>
            <w:r>
              <w:rPr>
                <w:webHidden/>
              </w:rPr>
              <w:fldChar w:fldCharType="begin"/>
            </w:r>
            <w:r>
              <w:rPr>
                <w:webHidden/>
              </w:rPr>
              <w:instrText>PAGEREF _Toc104906823 \h</w:instrText>
            </w:r>
            <w:r>
              <w:rPr>
                <w:webHidden/>
              </w:rPr>
              <w:fldChar w:fldCharType="separate"/>
            </w:r>
            <w:r>
              <w:rPr>
                <w:rStyle w:val="Vnculodendice"/>
                <w:rFonts w:cs="Arial"/>
                <w:sz w:val="22"/>
                <w:szCs w:val="22"/>
              </w:rPr>
              <w:tab/>
              <w:t>10</w:t>
            </w:r>
            <w:r>
              <w:rPr>
                <w:webHidden/>
              </w:rPr>
              <w:fldChar w:fldCharType="end"/>
            </w:r>
          </w:hyperlink>
        </w:p>
        <w:p>
          <w:pPr>
            <w:pStyle w:val="Sumrio1"/>
            <w:tabs>
              <w:tab w:val="clear" w:pos="708"/>
              <w:tab w:val="left" w:pos="440" w:leader="none"/>
              <w:tab w:val="right" w:pos="9736" w:leader="dot"/>
            </w:tabs>
            <w:rPr>
              <w:rFonts w:eastAsia="" w:cs="Arial" w:eastAsiaTheme="minorEastAsia"/>
              <w:sz w:val="22"/>
              <w:szCs w:val="22"/>
            </w:rPr>
          </w:pPr>
          <w:hyperlink w:anchor="_Toc104906824">
            <w:r>
              <w:rPr>
                <w:webHidden/>
                <w:rStyle w:val="Vnculodendice"/>
                <w:rFonts w:eastAsia="Calibri" w:cs="Arial"/>
                <w:b/>
                <w:vanish w:val="false"/>
                <w:sz w:val="22"/>
                <w:szCs w:val="22"/>
              </w:rPr>
              <w:t>7.</w:t>
            </w:r>
            <w:r>
              <w:rPr>
                <w:rStyle w:val="Vnculodendice"/>
                <w:rFonts w:eastAsia="" w:cs="Arial" w:eastAsiaTheme="minorEastAsia"/>
                <w:sz w:val="22"/>
                <w:szCs w:val="22"/>
              </w:rPr>
              <w:tab/>
            </w:r>
            <w:r>
              <w:rPr>
                <w:rStyle w:val="Vnculodendice"/>
                <w:rFonts w:eastAsia="Calibri" w:cs="Arial"/>
                <w:sz w:val="22"/>
                <w:szCs w:val="22"/>
              </w:rPr>
              <w:t>CONTRATAÇÃO</w:t>
            </w:r>
            <w:r>
              <w:rPr>
                <w:webHidden/>
              </w:rPr>
              <w:fldChar w:fldCharType="begin"/>
            </w:r>
            <w:r>
              <w:rPr>
                <w:webHidden/>
              </w:rPr>
              <w:instrText>PAGEREF _Toc104906824 \h</w:instrText>
            </w:r>
            <w:r>
              <w:rPr>
                <w:webHidden/>
              </w:rPr>
              <w:fldChar w:fldCharType="separate"/>
            </w:r>
            <w:r>
              <w:rPr>
                <w:rStyle w:val="Vnculodendice"/>
                <w:rFonts w:cs="Arial"/>
                <w:sz w:val="22"/>
                <w:szCs w:val="22"/>
              </w:rPr>
              <w:tab/>
              <w:t>12</w:t>
            </w:r>
            <w:r>
              <w:rPr>
                <w:webHidden/>
              </w:rPr>
              <w:fldChar w:fldCharType="end"/>
            </w:r>
          </w:hyperlink>
        </w:p>
        <w:p>
          <w:pPr>
            <w:pStyle w:val="Sumrio1"/>
            <w:tabs>
              <w:tab w:val="clear" w:pos="708"/>
              <w:tab w:val="left" w:pos="440" w:leader="none"/>
              <w:tab w:val="right" w:pos="9736" w:leader="dot"/>
            </w:tabs>
            <w:rPr>
              <w:rFonts w:eastAsia="" w:cs="Arial" w:eastAsiaTheme="minorEastAsia"/>
              <w:sz w:val="22"/>
              <w:szCs w:val="22"/>
            </w:rPr>
          </w:pPr>
          <w:hyperlink w:anchor="_Toc104906825">
            <w:r>
              <w:rPr>
                <w:webHidden/>
                <w:rStyle w:val="Vnculodendice"/>
                <w:rFonts w:eastAsia="Calibri" w:cs="Arial"/>
                <w:b/>
                <w:vanish w:val="false"/>
                <w:sz w:val="22"/>
                <w:szCs w:val="22"/>
              </w:rPr>
              <w:t>8.</w:t>
            </w:r>
            <w:r>
              <w:rPr>
                <w:rStyle w:val="Vnculodendice"/>
                <w:rFonts w:eastAsia="" w:cs="Arial" w:eastAsiaTheme="minorEastAsia"/>
                <w:sz w:val="22"/>
                <w:szCs w:val="22"/>
              </w:rPr>
              <w:tab/>
            </w:r>
            <w:r>
              <w:rPr>
                <w:rStyle w:val="Vnculodendice"/>
                <w:rFonts w:eastAsia="Calibri" w:cs="Arial"/>
                <w:sz w:val="22"/>
                <w:szCs w:val="22"/>
              </w:rPr>
              <w:t>SANÇÕES</w:t>
            </w:r>
            <w:r>
              <w:rPr>
                <w:webHidden/>
              </w:rPr>
              <w:fldChar w:fldCharType="begin"/>
            </w:r>
            <w:r>
              <w:rPr>
                <w:webHidden/>
              </w:rPr>
              <w:instrText>PAGEREF _Toc104906825 \h</w:instrText>
            </w:r>
            <w:r>
              <w:rPr>
                <w:webHidden/>
              </w:rPr>
              <w:fldChar w:fldCharType="separate"/>
            </w:r>
            <w:r>
              <w:rPr>
                <w:rStyle w:val="Vnculodendice"/>
                <w:rFonts w:cs="Arial"/>
                <w:sz w:val="22"/>
                <w:szCs w:val="22"/>
              </w:rPr>
              <w:tab/>
              <w:t>13</w:t>
            </w:r>
            <w:r>
              <w:rPr>
                <w:webHidden/>
              </w:rPr>
              <w:fldChar w:fldCharType="end"/>
            </w:r>
          </w:hyperlink>
        </w:p>
        <w:p>
          <w:pPr>
            <w:pStyle w:val="Sumrio1"/>
            <w:tabs>
              <w:tab w:val="clear" w:pos="708"/>
              <w:tab w:val="left" w:pos="440" w:leader="none"/>
              <w:tab w:val="right" w:pos="9736" w:leader="dot"/>
            </w:tabs>
            <w:rPr>
              <w:rFonts w:eastAsia="" w:cs="Arial" w:eastAsiaTheme="minorEastAsia"/>
              <w:sz w:val="22"/>
              <w:szCs w:val="22"/>
            </w:rPr>
          </w:pPr>
          <w:hyperlink w:anchor="_Toc104906826">
            <w:r>
              <w:rPr>
                <w:webHidden/>
                <w:rStyle w:val="Vnculodendice"/>
                <w:rFonts w:eastAsia="Calibri" w:cs="Arial"/>
                <w:b/>
                <w:vanish w:val="false"/>
                <w:sz w:val="22"/>
                <w:szCs w:val="22"/>
              </w:rPr>
              <w:t>9.</w:t>
            </w:r>
            <w:r>
              <w:rPr>
                <w:rStyle w:val="Vnculodendice"/>
                <w:rFonts w:eastAsia="" w:cs="Arial" w:eastAsiaTheme="minorEastAsia"/>
                <w:sz w:val="22"/>
                <w:szCs w:val="22"/>
              </w:rPr>
              <w:tab/>
            </w:r>
            <w:r>
              <w:rPr>
                <w:rStyle w:val="Vnculodendice"/>
                <w:rFonts w:eastAsia="Calibri" w:cs="Arial"/>
                <w:sz w:val="22"/>
                <w:szCs w:val="22"/>
              </w:rPr>
              <w:t>DAS DISPOSIÇÕES GERAIS</w:t>
            </w:r>
            <w:r>
              <w:rPr>
                <w:webHidden/>
              </w:rPr>
              <w:fldChar w:fldCharType="begin"/>
            </w:r>
            <w:r>
              <w:rPr>
                <w:webHidden/>
              </w:rPr>
              <w:instrText>PAGEREF _Toc104906826 \h</w:instrText>
            </w:r>
            <w:r>
              <w:rPr>
                <w:webHidden/>
              </w:rPr>
              <w:fldChar w:fldCharType="separate"/>
            </w:r>
            <w:r>
              <w:rPr>
                <w:rStyle w:val="Vnculodendice"/>
                <w:rFonts w:cs="Arial"/>
                <w:sz w:val="22"/>
                <w:szCs w:val="22"/>
              </w:rPr>
              <w:tab/>
              <w:t>15</w:t>
            </w:r>
            <w:r>
              <w:rPr>
                <w:webHidden/>
              </w:rPr>
              <w:fldChar w:fldCharType="end"/>
            </w:r>
          </w:hyperlink>
        </w:p>
        <w:p>
          <w:pPr>
            <w:pStyle w:val="Normal"/>
            <w:rPr/>
          </w:pPr>
          <w:r>
            <w:rPr/>
          </w:r>
          <w:r>
            <w:rPr/>
            <w:fldChar w:fldCharType="end"/>
          </w:r>
        </w:p>
      </w:sdtContent>
    </w:sdt>
    <w:p>
      <w:pPr>
        <w:pStyle w:val="Ttulo1"/>
        <w:rPr>
          <w:rFonts w:cs="Arial"/>
          <w:b/>
          <w:b/>
          <w:bCs/>
          <w:i/>
          <w:i/>
          <w:iCs/>
          <w:color w:val="FF0000"/>
          <w:sz w:val="24"/>
        </w:rPr>
      </w:pPr>
      <w:r>
        <w:rPr>
          <w:rFonts w:cs="Arial"/>
          <w:b/>
          <w:bCs/>
          <w:i/>
          <w:iCs/>
          <w:color w:val="FF0000"/>
          <w:sz w:val="24"/>
        </w:rPr>
      </w:r>
      <w:r>
        <w:br w:type="page"/>
      </w:r>
    </w:p>
    <w:p>
      <w:pPr>
        <w:pStyle w:val="Normal"/>
        <w:spacing w:lineRule="auto" w:line="276"/>
        <w:jc w:val="center"/>
        <w:rPr>
          <w:rFonts w:cs="Arial"/>
          <w:b/>
          <w:b/>
          <w:bCs/>
          <w:i/>
          <w:i/>
          <w:iCs/>
          <w:color w:val="FF0000"/>
          <w:sz w:val="24"/>
        </w:rPr>
      </w:pPr>
      <w:r>
        <w:rPr>
          <w:rFonts w:cs="Arial"/>
          <w:b/>
          <w:bCs/>
          <w:i/>
          <w:iCs/>
          <w:color w:val="FF0000"/>
          <w:sz w:val="24"/>
        </w:rPr>
      </w:r>
    </w:p>
    <w:p>
      <w:pPr>
        <w:pStyle w:val="Normal"/>
        <w:spacing w:lineRule="auto" w:line="276"/>
        <w:jc w:val="center"/>
        <w:rPr>
          <w:rFonts w:cs="Arial"/>
          <w:b/>
          <w:b/>
          <w:bCs/>
          <w:i/>
          <w:i/>
          <w:iCs/>
          <w:color w:val="FF0000"/>
          <w:sz w:val="24"/>
        </w:rPr>
      </w:pPr>
      <w:r>
        <w:rPr>
          <w:rFonts w:cs="Arial"/>
          <w:b/>
          <w:bCs/>
          <w:i/>
          <w:iCs/>
          <w:color w:val="FF0000"/>
          <w:sz w:val="24"/>
        </w:rPr>
      </w:r>
    </w:p>
    <w:p>
      <w:pPr>
        <w:pStyle w:val="Normal"/>
        <w:spacing w:lineRule="auto" w:line="276"/>
        <w:jc w:val="center"/>
        <w:rPr>
          <w:rFonts w:cs="Arial"/>
          <w:b/>
          <w:b/>
          <w:bCs/>
          <w:i/>
          <w:i/>
          <w:iCs/>
          <w:color w:val="FF0000"/>
          <w:sz w:val="24"/>
        </w:rPr>
      </w:pPr>
      <w:r>
        <w:rPr>
          <w:rFonts w:cs="Arial"/>
          <w:b/>
          <w:bCs/>
          <w:i/>
          <w:iCs/>
          <w:color w:val="FF0000"/>
          <w:sz w:val="24"/>
        </w:rPr>
      </w:r>
    </w:p>
    <w:p>
      <w:pPr>
        <w:pStyle w:val="Normal"/>
        <w:spacing w:lineRule="auto" w:line="276"/>
        <w:jc w:val="center"/>
        <w:rPr>
          <w:rFonts w:cs="Arial"/>
          <w:b/>
          <w:b/>
          <w:bCs/>
          <w:i/>
          <w:i/>
          <w:iCs/>
          <w:color w:val="FF0000"/>
          <w:sz w:val="24"/>
        </w:rPr>
      </w:pPr>
      <w:r>
        <w:rPr>
          <w:rFonts w:cs="Arial"/>
          <w:b/>
          <w:bCs/>
          <w:i/>
          <w:iCs/>
          <w:color w:val="FF0000"/>
          <w:sz w:val="24"/>
        </w:rPr>
      </w:r>
    </w:p>
    <w:p>
      <w:pPr>
        <w:pStyle w:val="Normal"/>
        <w:spacing w:lineRule="auto" w:line="276"/>
        <w:jc w:val="center"/>
        <w:rPr>
          <w:rFonts w:cs="Arial"/>
          <w:b/>
          <w:b/>
          <w:bCs/>
          <w:i/>
          <w:i/>
          <w:iCs/>
          <w:color w:val="FF0000"/>
          <w:sz w:val="24"/>
        </w:rPr>
      </w:pPr>
      <w:r>
        <w:rPr>
          <w:rFonts w:cs="Arial"/>
          <w:b/>
          <w:bCs/>
          <w:i/>
          <w:iCs/>
          <w:color w:val="FF0000"/>
          <w:sz w:val="24"/>
        </w:rPr>
      </w:r>
    </w:p>
    <w:p>
      <w:pPr>
        <w:pStyle w:val="Corpodotexto"/>
        <w:tabs>
          <w:tab w:val="clear" w:pos="708"/>
          <w:tab w:val="left" w:pos="0" w:leader="none"/>
        </w:tabs>
        <w:spacing w:before="0" w:after="0"/>
        <w:jc w:val="center"/>
        <w:rPr>
          <w:rFonts w:cs="Arial"/>
          <w:b/>
          <w:b/>
          <w:bCs/>
          <w:smallCaps/>
          <w:szCs w:val="20"/>
        </w:rPr>
      </w:pPr>
      <w:r>
        <w:rPr>
          <w:rFonts w:cs="Arial"/>
          <w:b/>
          <w:bCs/>
          <w:smallCaps/>
          <w:szCs w:val="20"/>
        </w:rPr>
        <w:t>MINISTÉRIO DA DEFESA</w:t>
      </w:r>
    </w:p>
    <w:p>
      <w:pPr>
        <w:pStyle w:val="Corpodotexto"/>
        <w:tabs>
          <w:tab w:val="clear" w:pos="708"/>
          <w:tab w:val="left" w:pos="0" w:leader="none"/>
        </w:tabs>
        <w:spacing w:before="0" w:after="0"/>
        <w:jc w:val="center"/>
        <w:rPr>
          <w:rFonts w:cs="Arial"/>
          <w:b/>
          <w:b/>
          <w:bCs/>
          <w:smallCaps/>
          <w:szCs w:val="20"/>
        </w:rPr>
      </w:pPr>
      <w:r>
        <w:rPr>
          <w:rFonts w:cs="Arial"/>
          <w:b/>
          <w:bCs/>
          <w:smallCaps/>
          <w:szCs w:val="20"/>
        </w:rPr>
        <w:t>EXÉRCITO BRASILEIRO</w:t>
      </w:r>
    </w:p>
    <w:p>
      <w:pPr>
        <w:pStyle w:val="Corpodotexto"/>
        <w:tabs>
          <w:tab w:val="clear" w:pos="708"/>
          <w:tab w:val="left" w:pos="0" w:leader="none"/>
        </w:tabs>
        <w:spacing w:before="0" w:after="0"/>
        <w:jc w:val="center"/>
        <w:rPr>
          <w:rFonts w:cs="Arial"/>
          <w:b/>
          <w:b/>
          <w:bCs/>
          <w:smallCaps/>
          <w:szCs w:val="20"/>
        </w:rPr>
      </w:pPr>
      <w:r>
        <w:rPr>
          <w:rFonts w:cs="Arial"/>
          <w:b/>
          <w:bCs/>
          <w:smallCaps/>
          <w:szCs w:val="20"/>
        </w:rPr>
        <w:t>4ª BRIGADA DE INFANTARIA LEVE DE MONTANHA</w:t>
      </w:r>
    </w:p>
    <w:p>
      <w:pPr>
        <w:pStyle w:val="Corpodotexto"/>
        <w:tabs>
          <w:tab w:val="clear" w:pos="708"/>
          <w:tab w:val="left" w:pos="0" w:leader="none"/>
        </w:tabs>
        <w:spacing w:before="0" w:after="0"/>
        <w:jc w:val="center"/>
        <w:rPr>
          <w:rFonts w:cs="Arial"/>
          <w:b/>
          <w:b/>
          <w:bCs/>
          <w:smallCaps/>
          <w:szCs w:val="20"/>
        </w:rPr>
      </w:pPr>
      <w:r>
        <w:rPr>
          <w:rFonts w:cs="Arial"/>
          <w:b/>
          <w:bCs/>
          <w:smallCaps/>
          <w:szCs w:val="20"/>
        </w:rPr>
        <w:t>(4ª Bda Estrt/1908)</w:t>
      </w:r>
    </w:p>
    <w:p>
      <w:pPr>
        <w:pStyle w:val="Corpodotexto"/>
        <w:tabs>
          <w:tab w:val="clear" w:pos="708"/>
          <w:tab w:val="left" w:pos="0" w:leader="none"/>
        </w:tabs>
        <w:spacing w:before="0" w:after="0"/>
        <w:jc w:val="center"/>
        <w:rPr>
          <w:rFonts w:cs="Arial"/>
          <w:b/>
          <w:b/>
          <w:bCs/>
          <w:smallCaps/>
          <w:szCs w:val="20"/>
        </w:rPr>
      </w:pPr>
      <w:r>
        <w:rPr>
          <w:rFonts w:cs="Arial"/>
          <w:b/>
          <w:bCs/>
          <w:smallCaps/>
          <w:szCs w:val="20"/>
        </w:rPr>
        <w:t>BRIGADA 31 DE MARÇO</w:t>
      </w:r>
    </w:p>
    <w:p>
      <w:pPr>
        <w:pStyle w:val="Normal"/>
        <w:spacing w:lineRule="auto" w:line="276"/>
        <w:jc w:val="center"/>
        <w:rPr>
          <w:rFonts w:cs="Arial"/>
          <w:b/>
          <w:b/>
          <w:bCs/>
          <w:color w:val="000000" w:themeColor="text1"/>
          <w:sz w:val="24"/>
        </w:rPr>
      </w:pPr>
      <w:r>
        <w:rPr>
          <w:rFonts w:cs="Arial"/>
          <w:b/>
          <w:bCs/>
          <w:color w:val="000000" w:themeColor="text1"/>
          <w:sz w:val="24"/>
        </w:rPr>
        <w:t>AVISO DE DISPENSA ELETRÔNICA Nº 114/2022</w:t>
      </w:r>
    </w:p>
    <w:p>
      <w:pPr>
        <w:pStyle w:val="Normal"/>
        <w:spacing w:lineRule="auto" w:line="276" w:before="0" w:after="120"/>
        <w:ind w:right="-15" w:hanging="0"/>
        <w:jc w:val="center"/>
        <w:rPr>
          <w:rFonts w:cs="Arial"/>
          <w:b/>
          <w:b/>
          <w:bCs/>
          <w:sz w:val="24"/>
        </w:rPr>
      </w:pPr>
      <w:r>
        <w:rPr>
          <w:rFonts w:cs="Arial"/>
          <w:b/>
          <w:bCs/>
          <w:sz w:val="24"/>
        </w:rPr>
        <w:t>(Processo Administrativo n.°</w:t>
      </w:r>
      <w:r>
        <w:rPr/>
        <w:t xml:space="preserve"> </w:t>
      </w:r>
      <w:r>
        <w:rPr>
          <w:rFonts w:cs="Arial"/>
          <w:b/>
          <w:bCs/>
          <w:sz w:val="24"/>
        </w:rPr>
        <w:t>64301.009567/2023-34)</w:t>
      </w:r>
    </w:p>
    <w:p>
      <w:pPr>
        <w:pStyle w:val="Normal"/>
        <w:rPr>
          <w:rFonts w:cs="Arial"/>
          <w:sz w:val="24"/>
        </w:rPr>
      </w:pPr>
      <w:r>
        <w:rPr>
          <w:rFonts w:cs="Arial"/>
          <w:sz w:val="24"/>
        </w:rPr>
      </w:r>
    </w:p>
    <w:p>
      <w:pPr>
        <w:pStyle w:val="Normal"/>
        <w:snapToGrid w:val="false"/>
        <w:spacing w:lineRule="auto" w:line="276" w:before="0" w:after="120"/>
        <w:ind w:right="-30" w:firstLine="540"/>
        <w:jc w:val="both"/>
        <w:rPr>
          <w:rFonts w:cs="Arial"/>
          <w:color w:val="000000"/>
          <w:sz w:val="24"/>
        </w:rPr>
      </w:pPr>
      <w:r>
        <w:rPr>
          <w:rFonts w:cs="Arial"/>
          <w:color w:val="000000" w:themeColor="text1"/>
          <w:sz w:val="24"/>
        </w:rPr>
        <w:t xml:space="preserve">Torna-se público que o(a) COMANDO DA 4ª BRIGADA DE INFANTARIA LEVE DE MONTANHA (Cmdo 4ª Bda Inf L Mth), com sede na Rua Mariano Procópio, nº 970, Bairro Mariano Procópio, Juiz de Fora – MG, CEP 36.035-780, inscrito no CNPJ sob o nº 09.595.886/0001-38, neste ato representado pelo Coronel UBIRAJARA PANIZZI DE SOUZA, Ordenador de Despesas do COMANDO DA 4ª BRIGADA DE INFANTARIA LEVE DE MONTANHA, nomeado pelo Boletim Interno nº 62/2021, de 1º de abril de 2021, do Cmdo 4ª Bda Inf L Mth, por meio da DIVISÃO DA AQUISIÇÕES, LICITAÇÕES E CONTRATOS, realizará Dispensa Eletrônica, </w:t>
      </w:r>
      <w:r>
        <w:rPr>
          <w:rFonts w:cs="Arial"/>
          <w:bCs/>
          <w:color w:val="000000" w:themeColor="text1"/>
          <w:sz w:val="24"/>
        </w:rPr>
        <w:t>com critério de julgamento</w:t>
      </w:r>
      <w:r>
        <w:rPr>
          <w:rFonts w:cs="Arial"/>
          <w:b/>
          <w:bCs/>
          <w:sz w:val="24"/>
        </w:rPr>
        <w:t>no menor</w:t>
      </w:r>
      <w:r>
        <w:rPr>
          <w:rFonts w:cs="Arial"/>
          <w:color w:val="000000" w:themeColor="text1"/>
          <w:sz w:val="24"/>
        </w:rPr>
        <w:t>na hipótese do art. 75</w:t>
      </w:r>
      <w:r>
        <w:rPr>
          <w:rFonts w:cs="Arial"/>
          <w:i/>
          <w:iCs/>
          <w:color w:val="000000" w:themeColor="text1"/>
          <w:sz w:val="24"/>
        </w:rPr>
        <w:t xml:space="preserve">, </w:t>
      </w:r>
      <w:commentRangeStart w:id="1"/>
      <w:r>
        <w:rPr>
          <w:rFonts w:cs="Arial"/>
          <w:i/>
          <w:iCs/>
          <w:sz w:val="24"/>
        </w:rPr>
        <w:t xml:space="preserve">inciso </w:t>
      </w:r>
      <w:r>
        <w:rPr>
          <w:rFonts w:cs="Arial"/>
          <w:b/>
          <w:i/>
          <w:iCs/>
          <w:sz w:val="24"/>
        </w:rPr>
        <w:t>II</w:t>
      </w:r>
      <w:r>
        <w:rPr>
          <w:rFonts w:cs="Arial"/>
          <w:b/>
          <w:i/>
          <w:iCs/>
          <w:sz w:val="24"/>
        </w:rPr>
      </w:r>
      <w:commentRangeEnd w:id="1"/>
      <w:r>
        <w:commentReference w:id="1"/>
      </w:r>
      <w:r>
        <w:rPr>
          <w:rFonts w:cs="Arial"/>
          <w:i/>
          <w:iCs/>
          <w:sz w:val="24"/>
        </w:rPr>
        <w:t>,</w:t>
      </w:r>
      <w:r>
        <w:rPr>
          <w:rFonts w:cs="Arial"/>
          <w:bCs/>
          <w:sz w:val="24"/>
        </w:rPr>
        <w:t>nos termos da Lei nº 14.133, de 1º de abril de 2021, da Instrução Normativa SEGES/ME nº 67/2021 e demais legislação aplicável</w:t>
      </w:r>
      <w:r>
        <w:rPr>
          <w:rFonts w:cs="Arial"/>
          <w:color w:val="000000"/>
          <w:sz w:val="24"/>
        </w:rPr>
        <w:t>.</w:t>
      </w:r>
    </w:p>
    <w:p>
      <w:pPr>
        <w:pStyle w:val="Normal"/>
        <w:spacing w:lineRule="auto" w:line="276"/>
        <w:jc w:val="both"/>
        <w:rPr>
          <w:rFonts w:cs="Arial"/>
          <w:color w:val="000000" w:themeColor="text1"/>
          <w:sz w:val="24"/>
        </w:rPr>
      </w:pPr>
      <w:r>
        <w:rPr>
          <w:rFonts w:cs="Arial"/>
          <w:color w:val="000000" w:themeColor="text1"/>
          <w:sz w:val="24"/>
        </w:rPr>
      </w:r>
    </w:p>
    <w:p>
      <w:pPr>
        <w:pStyle w:val="Normal"/>
        <w:spacing w:lineRule="auto" w:line="276"/>
        <w:jc w:val="both"/>
        <w:rPr>
          <w:rFonts w:cs="Arial"/>
          <w:color w:val="000000" w:themeColor="text1"/>
          <w:sz w:val="24"/>
        </w:rPr>
      </w:pPr>
      <w:r>
        <w:rPr>
          <w:rFonts w:cs="Arial"/>
          <w:color w:val="000000" w:themeColor="text1"/>
          <w:sz w:val="24"/>
        </w:rPr>
      </w:r>
    </w:p>
    <w:p>
      <w:pPr>
        <w:pStyle w:val="Normal"/>
        <w:spacing w:lineRule="auto" w:line="276"/>
        <w:jc w:val="both"/>
        <w:rPr>
          <w:rFonts w:cs="Arial"/>
          <w:sz w:val="24"/>
        </w:rPr>
      </w:pPr>
      <w:r>
        <w:rPr>
          <w:rFonts w:cs="Arial"/>
          <w:color w:val="000000" w:themeColor="text1"/>
          <w:sz w:val="24"/>
        </w:rPr>
        <w:t xml:space="preserve">Data da sessão: </w:t>
      </w:r>
      <w:r>
        <w:rPr>
          <w:rFonts w:cs="Arial"/>
          <w:color w:val="000000" w:themeColor="text1"/>
          <w:sz w:val="24"/>
        </w:rPr>
        <w:t>10</w:t>
      </w:r>
      <w:r>
        <w:rPr>
          <w:rFonts w:cs="Arial"/>
          <w:color w:val="000000" w:themeColor="text1"/>
          <w:sz w:val="24"/>
        </w:rPr>
        <w:t>/</w:t>
      </w:r>
      <w:r>
        <w:rPr>
          <w:rFonts w:cs="Arial"/>
          <w:color w:val="000000" w:themeColor="text1"/>
          <w:sz w:val="24"/>
        </w:rPr>
        <w:t>07</w:t>
      </w:r>
      <w:r>
        <w:rPr>
          <w:rFonts w:cs="Arial"/>
          <w:color w:val="000000" w:themeColor="text1"/>
          <w:sz w:val="24"/>
        </w:rPr>
        <w:t>/</w:t>
      </w:r>
      <w:r>
        <w:rPr>
          <w:rFonts w:cs="Arial"/>
          <w:color w:val="000000" w:themeColor="text1"/>
          <w:sz w:val="24"/>
        </w:rPr>
        <w:t>2023</w:t>
      </w:r>
    </w:p>
    <w:p>
      <w:pPr>
        <w:pStyle w:val="Normal"/>
        <w:rPr>
          <w:rFonts w:cs="Arial"/>
          <w:color w:val="000000" w:themeColor="text1"/>
          <w:sz w:val="24"/>
        </w:rPr>
      </w:pPr>
      <w:r>
        <w:rPr>
          <w:rFonts w:cs="Arial"/>
          <w:color w:val="000000" w:themeColor="text1"/>
          <w:sz w:val="24"/>
        </w:rPr>
        <w:t xml:space="preserve">Link: </w:t>
      </w:r>
    </w:p>
    <w:p>
      <w:pPr>
        <w:pStyle w:val="Normal"/>
        <w:rPr>
          <w:rFonts w:cs="Arial"/>
          <w:color w:val="000000" w:themeColor="text1"/>
          <w:sz w:val="24"/>
        </w:rPr>
      </w:pPr>
      <w:r>
        <w:rPr>
          <w:rFonts w:cs="Arial"/>
          <w:color w:val="000000" w:themeColor="text1"/>
          <w:sz w:val="24"/>
        </w:rPr>
        <w:t xml:space="preserve">Horário da Fase de Lances: 8:00 às </w:t>
      </w:r>
      <w:r>
        <w:rPr>
          <w:rFonts w:cs="Arial"/>
          <w:sz w:val="24"/>
        </w:rPr>
        <w:t>14:00</w:t>
      </w:r>
    </w:p>
    <w:p>
      <w:pPr>
        <w:pStyle w:val="PADRO"/>
        <w:keepNext w:val="false"/>
        <w:widowControl/>
        <w:shd w:val="clear" w:color="auto" w:fill="auto"/>
        <w:spacing w:before="120" w:after="120"/>
        <w:ind w:left="360" w:hanging="0"/>
        <w:rPr>
          <w:rFonts w:ascii="Arial" w:hAnsi="Arial" w:cs="Arial"/>
          <w:b/>
          <w:b/>
          <w:sz w:val="24"/>
        </w:rPr>
      </w:pPr>
      <w:r>
        <w:rPr>
          <w:rFonts w:cs="Arial" w:ascii="Arial" w:hAnsi="Arial"/>
          <w:b/>
          <w:sz w:val="24"/>
        </w:rPr>
      </w:r>
    </w:p>
    <w:p>
      <w:pPr>
        <w:pStyle w:val="Ttulo1"/>
        <w:numPr>
          <w:ilvl w:val="0"/>
          <w:numId w:val="1"/>
        </w:numPr>
        <w:rPr>
          <w:rFonts w:ascii="Arial" w:hAnsi="Arial" w:cs="Arial"/>
          <w:color w:val="auto"/>
          <w:sz w:val="24"/>
          <w:szCs w:val="24"/>
        </w:rPr>
      </w:pPr>
      <w:bookmarkStart w:id="1" w:name="_Toc104906818"/>
      <w:r>
        <w:rPr>
          <w:rFonts w:cs="Arial" w:ascii="Arial" w:hAnsi="Arial"/>
          <w:color w:val="auto"/>
          <w:sz w:val="24"/>
          <w:szCs w:val="24"/>
        </w:rPr>
        <w:t>OBJETO DA CONTRATAÇÃO DIRETA</w:t>
      </w:r>
      <w:bookmarkEnd w:id="1"/>
    </w:p>
    <w:p>
      <w:pPr>
        <w:pStyle w:val="NormalWeb"/>
        <w:spacing w:lineRule="auto" w:line="240" w:before="280" w:after="0"/>
        <w:jc w:val="both"/>
        <w:rPr>
          <w:rFonts w:ascii="Arial" w:hAnsi="Arial" w:cs="Arial"/>
          <w:color w:val="000000" w:themeColor="text1"/>
        </w:rPr>
      </w:pPr>
      <w:r>
        <w:rPr>
          <w:rFonts w:cs="Arial" w:ascii="Arial" w:hAnsi="Arial"/>
          <w:color w:val="000000" w:themeColor="text1"/>
        </w:rPr>
        <w:t xml:space="preserve">O objeto da presente dispensa é a escolha da proposta mais vantajosa para </w:t>
      </w:r>
      <w:r>
        <w:rPr>
          <w:rFonts w:cs="Arial" w:ascii="Arial" w:hAnsi="Arial"/>
          <w:b/>
          <w:color w:val="000000" w:themeColor="text1"/>
        </w:rPr>
        <w:t>a contratação de serviço de revisão preventiva/corretiva, nos NoBreaks</w:t>
      </w:r>
      <w:r>
        <w:rPr>
          <w:rFonts w:cs="Arial" w:ascii="Arial" w:hAnsi="Arial"/>
          <w:color w:val="000000" w:themeColor="text1"/>
        </w:rPr>
        <w:t>, que alimentam a rede elétrico Auditório do Cmdo 4ª Bda Inf L Mth.</w:t>
      </w:r>
    </w:p>
    <w:p>
      <w:pPr>
        <w:pStyle w:val="PADRO"/>
        <w:keepNext w:val="false"/>
        <w:widowControl/>
        <w:numPr>
          <w:ilvl w:val="1"/>
          <w:numId w:val="1"/>
        </w:numPr>
        <w:shd w:val="clear" w:color="auto" w:fill="auto"/>
        <w:spacing w:before="120" w:after="120"/>
        <w:rPr>
          <w:rFonts w:ascii="Arial" w:hAnsi="Arial" w:cs="Arial"/>
          <w:sz w:val="24"/>
        </w:rPr>
      </w:pPr>
      <w:r>
        <w:rPr>
          <w:rFonts w:cs="Arial" w:ascii="Arial" w:hAnsi="Arial"/>
          <w:color w:val="000000" w:themeColor="text1"/>
          <w:sz w:val="24"/>
        </w:rPr>
        <w:t>por dispensa de licitação de</w:t>
      </w:r>
      <w:r>
        <w:rPr>
          <w:rFonts w:cs="Arial" w:ascii="Arial" w:hAnsi="Arial"/>
          <w:color w:val="FF0000"/>
          <w:sz w:val="24"/>
        </w:rPr>
        <w:t>...........................................................</w:t>
      </w:r>
      <w:r>
        <w:rPr>
          <w:rFonts w:cs="Arial" w:ascii="Arial" w:hAnsi="Arial"/>
          <w:b/>
          <w:bCs/>
          <w:color w:val="000000" w:themeColor="text1"/>
          <w:sz w:val="24"/>
        </w:rPr>
        <w:t>,</w:t>
      </w:r>
      <w:r>
        <w:rPr>
          <w:rFonts w:cs="Arial" w:ascii="Arial" w:hAnsi="Arial"/>
          <w:color w:val="000000" w:themeColor="text1"/>
          <w:sz w:val="24"/>
        </w:rPr>
        <w:t xml:space="preserve"> conforme condições, quantidades e exigências estabelecidas neste Aviso de Contratação Direta e seus anexos.</w:t>
      </w:r>
    </w:p>
    <w:p>
      <w:pPr>
        <w:pStyle w:val="PADRO"/>
        <w:keepNext w:val="false"/>
        <w:widowControl/>
        <w:numPr>
          <w:ilvl w:val="1"/>
          <w:numId w:val="1"/>
        </w:numPr>
        <w:shd w:val="clear" w:color="auto" w:fill="auto"/>
        <w:spacing w:before="120" w:after="120"/>
        <w:rPr/>
      </w:pPr>
      <w:r>
        <w:rPr>
          <w:rFonts w:cs="Arial" w:ascii="Arial" w:hAnsi="Arial"/>
          <w:sz w:val="24"/>
        </w:rPr>
        <w:t>A contratação ocorrerá em item único</w:t>
      </w:r>
      <w:r>
        <w:rPr>
          <w:rFonts w:cs="Arial" w:ascii="Arial" w:hAnsi="Arial"/>
          <w:b/>
          <w:bCs/>
          <w:sz w:val="24"/>
        </w:rPr>
        <w:t>,</w:t>
      </w:r>
      <w:r>
        <w:rPr>
          <w:rFonts w:cs="Arial" w:ascii="Arial" w:hAnsi="Arial"/>
          <w:sz w:val="24"/>
        </w:rPr>
        <w:t xml:space="preserve"> conforme tabela constante abaixo</w:t>
      </w:r>
      <w:r>
        <w:rPr>
          <w:rFonts w:cs="Arial" w:ascii="Arial" w:hAnsi="Arial"/>
          <w:color w:val="000000"/>
          <w:sz w:val="24"/>
        </w:rPr>
        <w:t>.</w:t>
      </w:r>
    </w:p>
    <w:tbl>
      <w:tblPr>
        <w:tblW w:w="9010" w:type="dxa"/>
        <w:jc w:val="left"/>
        <w:tblInd w:w="-113" w:type="dxa"/>
        <w:tblLayout w:type="fixed"/>
        <w:tblCellMar>
          <w:top w:w="0" w:type="dxa"/>
          <w:left w:w="108" w:type="dxa"/>
          <w:bottom w:w="0" w:type="dxa"/>
          <w:right w:w="108" w:type="dxa"/>
        </w:tblCellMar>
        <w:tblLook w:val="04a0"/>
      </w:tblPr>
      <w:tblGrid>
        <w:gridCol w:w="688"/>
        <w:gridCol w:w="3077"/>
        <w:gridCol w:w="992"/>
        <w:gridCol w:w="850"/>
        <w:gridCol w:w="1276"/>
        <w:gridCol w:w="2126"/>
      </w:tblGrid>
      <w:tr>
        <w:trPr/>
        <w:tc>
          <w:tcPr>
            <w:tcW w:w="68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cs="Arial"/>
                <w:b/>
                <w:b/>
                <w:bCs/>
                <w:color w:val="000000"/>
                <w:sz w:val="16"/>
                <w:szCs w:val="16"/>
              </w:rPr>
            </w:pPr>
            <w:r>
              <w:rPr>
                <w:rFonts w:cs="Arial"/>
                <w:b/>
                <w:bCs/>
                <w:color w:val="000000"/>
                <w:sz w:val="16"/>
                <w:szCs w:val="16"/>
              </w:rPr>
              <w:t>ITEM</w:t>
            </w:r>
          </w:p>
          <w:p>
            <w:pPr>
              <w:pStyle w:val="Normal"/>
              <w:widowControl w:val="false"/>
              <w:jc w:val="center"/>
              <w:rPr>
                <w:rFonts w:cs="Arial"/>
                <w:b/>
                <w:b/>
                <w:bCs/>
                <w:color w:val="000000"/>
                <w:sz w:val="16"/>
                <w:szCs w:val="16"/>
              </w:rPr>
            </w:pPr>
            <w:r>
              <w:rPr>
                <w:rFonts w:cs="Arial"/>
                <w:b/>
                <w:bCs/>
                <w:color w:val="000000"/>
                <w:sz w:val="16"/>
                <w:szCs w:val="16"/>
              </w:rPr>
            </w:r>
          </w:p>
        </w:tc>
        <w:tc>
          <w:tcPr>
            <w:tcW w:w="30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cs="Arial"/>
                <w:b/>
                <w:b/>
                <w:bCs/>
                <w:color w:val="000000"/>
                <w:sz w:val="16"/>
                <w:szCs w:val="16"/>
              </w:rPr>
            </w:pPr>
            <w:r>
              <w:rPr>
                <w:rFonts w:cs="Arial"/>
                <w:b/>
                <w:bCs/>
                <w:color w:val="000000"/>
                <w:sz w:val="16"/>
                <w:szCs w:val="16"/>
              </w:rPr>
              <w:t>DESCRIÇÃO/</w:t>
            </w:r>
          </w:p>
          <w:p>
            <w:pPr>
              <w:pStyle w:val="Normal"/>
              <w:widowControl w:val="false"/>
              <w:jc w:val="center"/>
              <w:rPr>
                <w:rFonts w:cs="Arial"/>
                <w:b/>
                <w:b/>
                <w:bCs/>
                <w:color w:val="000000"/>
                <w:sz w:val="16"/>
                <w:szCs w:val="16"/>
              </w:rPr>
            </w:pPr>
            <w:r>
              <w:rPr>
                <w:rFonts w:cs="Arial"/>
                <w:b/>
                <w:bCs/>
                <w:color w:val="000000"/>
                <w:sz w:val="16"/>
                <w:szCs w:val="16"/>
              </w:rPr>
              <w:t>ESPECIFICAÇÃO</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cs="Arial"/>
                <w:b/>
                <w:b/>
                <w:bCs/>
                <w:color w:val="000000"/>
                <w:sz w:val="16"/>
                <w:szCs w:val="16"/>
              </w:rPr>
            </w:pPr>
            <w:r>
              <w:rPr>
                <w:rFonts w:cs="Arial"/>
                <w:b/>
                <w:bCs/>
                <w:color w:val="000000"/>
                <w:sz w:val="16"/>
                <w:szCs w:val="16"/>
              </w:rPr>
              <w:t>Um Forn</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cs="Arial"/>
                <w:b/>
                <w:b/>
                <w:bCs/>
                <w:color w:val="000000"/>
                <w:sz w:val="16"/>
                <w:szCs w:val="16"/>
              </w:rPr>
            </w:pPr>
            <w:r>
              <w:rPr>
                <w:rFonts w:cs="Arial"/>
                <w:b/>
                <w:bCs/>
                <w:color w:val="000000"/>
                <w:sz w:val="16"/>
                <w:szCs w:val="16"/>
              </w:rPr>
              <w:t>QUANT.</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cs="Arial"/>
                <w:b/>
                <w:b/>
                <w:bCs/>
                <w:color w:val="000000"/>
                <w:sz w:val="16"/>
                <w:szCs w:val="16"/>
              </w:rPr>
            </w:pPr>
            <w:r>
              <w:rPr>
                <w:rFonts w:cs="Arial"/>
                <w:b/>
                <w:bCs/>
                <w:color w:val="000000"/>
                <w:sz w:val="16"/>
                <w:szCs w:val="16"/>
              </w:rPr>
              <w:t>PREÇO ESTIMADO</w:t>
            </w:r>
          </w:p>
        </w:tc>
        <w:tc>
          <w:tcPr>
            <w:tcW w:w="212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cs="Arial"/>
                <w:b/>
                <w:b/>
                <w:bCs/>
                <w:color w:val="000000"/>
                <w:sz w:val="16"/>
                <w:szCs w:val="16"/>
              </w:rPr>
            </w:pPr>
            <w:r>
              <w:rPr>
                <w:rFonts w:cs="Arial"/>
                <w:b/>
                <w:bCs/>
                <w:color w:val="000000"/>
                <w:sz w:val="16"/>
                <w:szCs w:val="16"/>
              </w:rPr>
              <w:t>LOCAL DE EXECUÇÃO</w:t>
            </w:r>
          </w:p>
        </w:tc>
      </w:tr>
      <w:tr>
        <w:trPr>
          <w:trHeight w:val="1011" w:hRule="atLeast"/>
        </w:trPr>
        <w:tc>
          <w:tcPr>
            <w:tcW w:w="6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cs="Times New Roman"/>
                <w:color w:val="000000"/>
                <w:sz w:val="18"/>
                <w:szCs w:val="18"/>
              </w:rPr>
            </w:pPr>
            <w:r>
              <w:rPr>
                <w:rFonts w:cs="Times New Roman" w:ascii="Times New Roman" w:hAnsi="Times New Roman"/>
                <w:color w:val="000000"/>
                <w:sz w:val="18"/>
                <w:szCs w:val="18"/>
              </w:rPr>
              <w:t>1</w:t>
            </w:r>
          </w:p>
        </w:tc>
        <w:tc>
          <w:tcPr>
            <w:tcW w:w="3077" w:type="dxa"/>
            <w:tcBorders>
              <w:top w:val="single" w:sz="4" w:space="0" w:color="000000"/>
              <w:left w:val="single" w:sz="4" w:space="0" w:color="000000"/>
              <w:bottom w:val="single" w:sz="4" w:space="0" w:color="000000"/>
              <w:right w:val="single" w:sz="4" w:space="0" w:color="000000"/>
            </w:tcBorders>
          </w:tcPr>
          <w:p>
            <w:pPr>
              <w:pStyle w:val="NormalWeb"/>
              <w:widowControl w:val="false"/>
              <w:spacing w:lineRule="auto" w:line="240" w:before="0" w:after="0"/>
              <w:rPr/>
            </w:pPr>
            <w:r>
              <w:rPr>
                <w:color w:val="000000"/>
                <w:sz w:val="18"/>
                <w:szCs w:val="18"/>
              </w:rPr>
              <w:t>Revisão prefentiva em 2(dois) no-breaks EATON 10KVA.</w:t>
            </w:r>
          </w:p>
          <w:p>
            <w:pPr>
              <w:pStyle w:val="NormalWeb"/>
              <w:widowControl w:val="false"/>
              <w:spacing w:lineRule="auto" w:line="240" w:before="0" w:after="0"/>
              <w:rPr/>
            </w:pPr>
            <w:r>
              <w:rPr>
                <w:color w:val="000000"/>
                <w:sz w:val="18"/>
                <w:szCs w:val="18"/>
              </w:rPr>
              <w:t>- análise visual das ventoinhas</w:t>
            </w:r>
          </w:p>
          <w:p>
            <w:pPr>
              <w:pStyle w:val="NormalWeb"/>
              <w:widowControl w:val="false"/>
              <w:spacing w:lineRule="auto" w:line="240" w:before="0" w:after="0"/>
              <w:rPr/>
            </w:pPr>
            <w:r>
              <w:rPr>
                <w:color w:val="000000"/>
                <w:sz w:val="18"/>
                <w:szCs w:val="18"/>
              </w:rPr>
              <w:t>- análise visual dos circuitos</w:t>
            </w:r>
          </w:p>
          <w:p>
            <w:pPr>
              <w:pStyle w:val="NormalWeb"/>
              <w:widowControl w:val="false"/>
              <w:spacing w:lineRule="auto" w:line="240" w:before="0" w:after="0"/>
              <w:rPr/>
            </w:pPr>
            <w:r>
              <w:rPr>
                <w:color w:val="000000"/>
                <w:sz w:val="18"/>
                <w:szCs w:val="18"/>
              </w:rPr>
              <w:t>- Substituição e troca das baterias</w:t>
            </w:r>
          </w:p>
          <w:p>
            <w:pPr>
              <w:pStyle w:val="NormalWeb"/>
              <w:widowControl w:val="false"/>
              <w:spacing w:lineRule="auto" w:line="240" w:before="0" w:after="0"/>
              <w:rPr/>
            </w:pPr>
            <w:r>
              <w:rPr>
                <w:color w:val="000000"/>
                <w:sz w:val="18"/>
                <w:szCs w:val="18"/>
              </w:rPr>
              <w:t>- conferência das conexões e cabos de circuitos</w:t>
            </w:r>
          </w:p>
          <w:p>
            <w:pPr>
              <w:pStyle w:val="NormalWeb"/>
              <w:widowControl w:val="false"/>
              <w:spacing w:lineRule="auto" w:line="240" w:before="0" w:after="0"/>
              <w:rPr/>
            </w:pPr>
            <w:r>
              <w:rPr>
                <w:color w:val="000000"/>
                <w:sz w:val="18"/>
                <w:szCs w:val="18"/>
              </w:rPr>
              <w:t>- conferência das conexões e cabos das baterias</w:t>
            </w:r>
          </w:p>
          <w:p>
            <w:pPr>
              <w:pStyle w:val="NormalWeb"/>
              <w:widowControl w:val="false"/>
              <w:spacing w:lineRule="auto" w:line="240" w:before="0" w:after="0"/>
              <w:rPr/>
            </w:pPr>
            <w:r>
              <w:rPr>
                <w:color w:val="000000"/>
                <w:sz w:val="18"/>
                <w:szCs w:val="18"/>
              </w:rPr>
              <w:t>- medições das tensões de baterias</w:t>
            </w:r>
          </w:p>
          <w:p>
            <w:pPr>
              <w:pStyle w:val="NormalWeb"/>
              <w:widowControl w:val="false"/>
              <w:spacing w:lineRule="auto" w:line="240" w:before="0" w:after="0"/>
              <w:rPr/>
            </w:pPr>
            <w:r>
              <w:rPr>
                <w:color w:val="000000"/>
                <w:sz w:val="18"/>
                <w:szCs w:val="18"/>
              </w:rPr>
              <w:t>- medições das tensões de rede</w:t>
            </w:r>
          </w:p>
          <w:p>
            <w:pPr>
              <w:pStyle w:val="NormalWeb"/>
              <w:widowControl w:val="false"/>
              <w:spacing w:lineRule="auto" w:line="240" w:before="0" w:after="0"/>
              <w:rPr/>
            </w:pPr>
            <w:r>
              <w:rPr>
                <w:color w:val="000000"/>
                <w:sz w:val="18"/>
                <w:szCs w:val="18"/>
              </w:rPr>
              <w:t>- calibração via software (quando houver)</w:t>
            </w:r>
          </w:p>
          <w:p>
            <w:pPr>
              <w:pStyle w:val="NormalWeb"/>
              <w:widowControl w:val="false"/>
              <w:spacing w:lineRule="auto" w:line="240" w:before="0" w:after="0"/>
              <w:rPr/>
            </w:pPr>
            <w:r>
              <w:rPr>
                <w:color w:val="000000"/>
                <w:sz w:val="18"/>
                <w:szCs w:val="18"/>
              </w:rPr>
              <w:t>- testes com carga ligada do cliente</w:t>
            </w:r>
          </w:p>
          <w:p>
            <w:pPr>
              <w:pStyle w:val="NormalWeb"/>
              <w:widowControl w:val="false"/>
              <w:spacing w:lineRule="auto" w:line="240" w:before="0" w:after="0"/>
              <w:rPr/>
            </w:pPr>
            <w:r>
              <w:rPr>
                <w:color w:val="000000"/>
                <w:sz w:val="18"/>
                <w:szCs w:val="18"/>
              </w:rPr>
              <w:t>- coletar log de informação do nobreak (quando houver)</w:t>
            </w:r>
          </w:p>
          <w:p>
            <w:pPr>
              <w:pStyle w:val="NormalWeb"/>
              <w:widowControl w:val="false"/>
              <w:spacing w:lineRule="auto" w:line="240" w:before="0" w:after="0"/>
              <w:rPr/>
            </w:pPr>
            <w:r>
              <w:rPr>
                <w:color w:val="000000"/>
                <w:sz w:val="18"/>
                <w:szCs w:val="18"/>
              </w:rPr>
              <w:t>- Constatação de defeito (se tiver)</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cs="Times New Roman"/>
                <w:color w:val="000000"/>
                <w:sz w:val="18"/>
                <w:szCs w:val="18"/>
              </w:rPr>
            </w:pPr>
            <w:r>
              <w:rPr>
                <w:rFonts w:cs="Times New Roman" w:ascii="Times New Roman" w:hAnsi="Times New Roman"/>
                <w:color w:val="000000"/>
                <w:sz w:val="18"/>
                <w:szCs w:val="18"/>
              </w:rPr>
              <w:t>Serviço</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cs="Times New Roman"/>
                <w:color w:val="000000"/>
                <w:sz w:val="18"/>
                <w:szCs w:val="18"/>
              </w:rPr>
            </w:pPr>
            <w:r>
              <w:rPr>
                <w:rFonts w:cs="Times New Roman" w:ascii="Times New Roman" w:hAnsi="Times New Roman"/>
                <w:color w:val="000000"/>
                <w:sz w:val="18"/>
                <w:szCs w:val="18"/>
              </w:rPr>
              <w:t>2</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cs="Times New Roman"/>
                <w:color w:val="000000"/>
                <w:sz w:val="18"/>
                <w:szCs w:val="18"/>
              </w:rPr>
            </w:pPr>
            <w:r>
              <w:rPr>
                <w:rFonts w:cs="Times New Roman" w:ascii="Times New Roman" w:hAnsi="Times New Roman"/>
                <w:color w:val="000000"/>
                <w:sz w:val="18"/>
                <w:szCs w:val="18"/>
              </w:rPr>
              <w:t>R$ 1.000,00</w:t>
            </w:r>
          </w:p>
        </w:tc>
        <w:tc>
          <w:tcPr>
            <w:tcW w:w="21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cs="Times New Roman"/>
                <w:color w:val="000000"/>
                <w:sz w:val="18"/>
                <w:szCs w:val="18"/>
              </w:rPr>
            </w:pPr>
            <w:r>
              <w:rPr>
                <w:rFonts w:cs="Times New Roman" w:ascii="Times New Roman" w:hAnsi="Times New Roman"/>
                <w:color w:val="000000"/>
                <w:sz w:val="18"/>
                <w:szCs w:val="18"/>
              </w:rPr>
              <w:t>R. Mariano Procópio, 970 - Centro, Juiz de Fora - MG, 36035-780</w:t>
            </w:r>
          </w:p>
        </w:tc>
      </w:tr>
    </w:tbl>
    <w:p>
      <w:pPr>
        <w:pStyle w:val="PADRO"/>
        <w:keepNext w:val="false"/>
        <w:widowControl/>
        <w:numPr>
          <w:ilvl w:val="2"/>
          <w:numId w:val="1"/>
        </w:numPr>
        <w:shd w:val="clear" w:color="auto" w:fill="auto"/>
        <w:spacing w:before="120" w:after="120"/>
        <w:rPr>
          <w:rFonts w:ascii="Arial" w:hAnsi="Arial" w:cs="Arial"/>
          <w:sz w:val="24"/>
        </w:rPr>
      </w:pPr>
      <w:r>
        <w:rPr>
          <w:rFonts w:cs="Arial" w:ascii="Arial" w:hAnsi="Arial"/>
          <w:sz w:val="24"/>
        </w:rPr>
        <w:t>Havendo mais de item ou lote faculta-se ao fornecedor a participação em quantos forem de seu interesse. Entretanto, optando-se por participar de um lote, deve o fornecedor enviar proposta para todos os itens que o compõem.</w:t>
      </w:r>
    </w:p>
    <w:p>
      <w:pPr>
        <w:pStyle w:val="PADRO"/>
        <w:keepNext w:val="false"/>
        <w:widowControl/>
        <w:numPr>
          <w:ilvl w:val="1"/>
          <w:numId w:val="1"/>
        </w:numPr>
        <w:shd w:val="clear" w:color="auto" w:fill="auto"/>
        <w:spacing w:before="120" w:after="120"/>
        <w:rPr>
          <w:rFonts w:ascii="Arial" w:hAnsi="Arial" w:cs="Arial"/>
          <w:sz w:val="24"/>
        </w:rPr>
      </w:pPr>
      <w:r>
        <w:rPr>
          <w:rFonts w:cs="Arial" w:ascii="Arial" w:hAnsi="Arial"/>
          <w:sz w:val="24"/>
        </w:rPr>
        <w:t>O critério de julgamento adotado será o menor preço observadas as exigências contidas neste Aviso de Contratação Direta e seus Anexos quanto às especificações do objeto.</w:t>
      </w:r>
    </w:p>
    <w:p>
      <w:pPr>
        <w:pStyle w:val="Normal"/>
        <w:spacing w:lineRule="auto" w:line="259" w:before="0" w:after="160"/>
        <w:rPr>
          <w:rFonts w:eastAsia="WenQuanYi Micro Hei" w:cs="Arial"/>
          <w:sz w:val="24"/>
          <w:lang w:eastAsia="zh-CN" w:bidi="hi-IN"/>
        </w:rPr>
      </w:pPr>
      <w:r>
        <w:rPr>
          <w:rFonts w:eastAsia="WenQuanYi Micro Hei" w:cs="Arial"/>
          <w:sz w:val="24"/>
          <w:lang w:eastAsia="zh-CN" w:bidi="hi-IN"/>
        </w:rPr>
      </w:r>
      <w:r>
        <w:br w:type="page"/>
      </w:r>
    </w:p>
    <w:p>
      <w:pPr>
        <w:pStyle w:val="Ttulo1"/>
        <w:numPr>
          <w:ilvl w:val="0"/>
          <w:numId w:val="1"/>
        </w:numPr>
        <w:rPr>
          <w:rFonts w:ascii="Arial" w:hAnsi="Arial" w:cs="Arial"/>
          <w:color w:val="auto"/>
          <w:sz w:val="24"/>
          <w:szCs w:val="24"/>
        </w:rPr>
      </w:pPr>
      <w:bookmarkStart w:id="2" w:name="_Toc104906819"/>
      <w:r>
        <w:rPr>
          <w:rFonts w:cs="Arial" w:ascii="Arial" w:hAnsi="Arial"/>
          <w:color w:val="auto"/>
          <w:sz w:val="24"/>
          <w:szCs w:val="24"/>
        </w:rPr>
        <w:t>PARTICIPAÇÃO NA DISPENSA ELETRÔNICA.</w:t>
      </w:r>
      <w:bookmarkEnd w:id="2"/>
    </w:p>
    <w:p>
      <w:pPr>
        <w:pStyle w:val="Normal"/>
        <w:numPr>
          <w:ilvl w:val="1"/>
          <w:numId w:val="1"/>
        </w:numPr>
        <w:snapToGrid w:val="false"/>
        <w:spacing w:lineRule="auto" w:line="276" w:before="120" w:after="120"/>
        <w:ind w:left="857" w:hanging="432"/>
        <w:jc w:val="both"/>
        <w:rPr>
          <w:rFonts w:cs="Arial"/>
          <w:sz w:val="24"/>
        </w:rPr>
      </w:pPr>
      <w:r>
        <w:rPr>
          <w:rFonts w:cs="Arial"/>
          <w:sz w:val="24"/>
        </w:rPr>
        <w:t xml:space="preserve">A participação na presente dispensa eletrônica se dará mediante </w:t>
      </w:r>
      <w:r>
        <w:rPr>
          <w:rFonts w:cs="Arial"/>
          <w:bCs/>
          <w:sz w:val="24"/>
        </w:rPr>
        <w:t>Sistema de Dispensa Eletrônica</w:t>
      </w:r>
      <w:r>
        <w:rPr>
          <w:rFonts w:cs="Arial"/>
          <w:sz w:val="24"/>
        </w:rPr>
        <w:t xml:space="preserve"> integrante do Sistema de Compras do Governo Federal – Comprasnet 4.0, disponível no </w:t>
      </w:r>
      <w:r>
        <w:rPr>
          <w:rFonts w:cs="Arial"/>
          <w:bCs/>
          <w:sz w:val="24"/>
        </w:rPr>
        <w:t xml:space="preserve">endereço eletrônico </w:t>
      </w:r>
      <w:r>
        <w:rPr>
          <w:rFonts w:cs="Arial"/>
          <w:color w:val="FF0000"/>
          <w:sz w:val="24"/>
        </w:rPr>
        <w:t>...</w:t>
      </w:r>
      <w:r>
        <w:rPr>
          <w:rFonts w:cs="Arial"/>
          <w:sz w:val="24"/>
        </w:rPr>
        <w:t>.</w:t>
      </w:r>
    </w:p>
    <w:p>
      <w:pPr>
        <w:pStyle w:val="Normal"/>
        <w:numPr>
          <w:ilvl w:val="2"/>
          <w:numId w:val="1"/>
        </w:numPr>
        <w:snapToGrid w:val="false"/>
        <w:spacing w:lineRule="auto" w:line="276" w:before="120" w:after="120"/>
        <w:jc w:val="both"/>
        <w:rPr>
          <w:rFonts w:cs="Arial"/>
          <w:sz w:val="24"/>
        </w:rPr>
      </w:pPr>
      <w:r>
        <w:rPr>
          <w:rFonts w:cs="Arial"/>
          <w:sz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cs="Arial"/>
          <w:sz w:val="24"/>
        </w:rPr>
      </w:pPr>
      <w:r>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cs="Arial"/>
          <w:color w:val="000000" w:themeColor="text1"/>
          <w:sz w:val="24"/>
        </w:rPr>
      </w:pPr>
      <w:r>
        <w:rPr>
          <w:rFonts w:cs="Arial"/>
          <w:color w:val="000000" w:themeColor="text1"/>
          <w:sz w:val="24"/>
        </w:rPr>
        <w:t>Não poderão participar desta dispensa os fornecedores: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não atendam às condições deste Aviso de Contratação Direta e seu(s) anexo(s);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se enquadrem nas seguintes vedações:</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pessoa física ou jurídica que se encontre, ao tempo da contratação, impossibilitada de contratar em decorrência de sanção que lhe foi imposta;</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empresas controladoras, controladas ou coligadas, nos termos da </w:t>
      </w:r>
      <w:hyperlink r:id="rId2">
        <w:r>
          <w:rPr>
            <w:rStyle w:val="LinkdaInternet"/>
            <w:rFonts w:eastAsia="Calibri" w:cs="Arial"/>
            <w:sz w:val="24"/>
          </w:rPr>
          <w:t>Lei nº 6.404, de 15 de dezembro de 1976</w:t>
        </w:r>
      </w:hyperlink>
      <w:r>
        <w:rPr>
          <w:rFonts w:cs="Arial"/>
          <w:color w:val="000000"/>
          <w:sz w:val="24"/>
        </w:rPr>
        <w:t>, concorrendo entre si;</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themeColor="text1"/>
          <w:sz w:val="24"/>
        </w:rPr>
      </w:pPr>
      <w:r>
        <w:rPr>
          <w:rFonts w:cs="Arial"/>
          <w:color w:val="000000"/>
          <w:sz w:val="24"/>
        </w:rPr>
        <w:t>Equiparam-se aos autores do projeto as empresas integrantes do mesmo grupo econômico;</w:t>
      </w:r>
    </w:p>
    <w:p>
      <w:pPr>
        <w:pStyle w:val="Normal"/>
        <w:numPr>
          <w:ilvl w:val="3"/>
          <w:numId w:val="1"/>
        </w:numPr>
        <w:spacing w:lineRule="auto" w:line="276" w:before="120" w:after="120"/>
        <w:jc w:val="both"/>
        <w:rPr>
          <w:rFonts w:cs="Arial"/>
          <w:color w:val="000000" w:themeColor="text1"/>
          <w:sz w:val="24"/>
        </w:rPr>
      </w:pPr>
      <w:r>
        <w:rPr>
          <w:rFonts w:cs="Arial"/>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cs="Arial"/>
          <w:color w:val="000000" w:themeColor="text1"/>
          <w:sz w:val="24"/>
        </w:rPr>
      </w:pPr>
      <w:r>
        <w:rPr>
          <w:rFonts w:cs="Arial"/>
          <w:color w:val="000000"/>
          <w:sz w:val="24"/>
        </w:rPr>
        <w:t>organizações da Sociedade Civil de Interesse Público - OSCIP, atuando nessa condição (Acórdão nº 746/2014-TCU-Plenário); e</w:t>
      </w:r>
    </w:p>
    <w:p>
      <w:pPr>
        <w:pStyle w:val="Normal"/>
        <w:spacing w:lineRule="auto" w:line="276" w:before="120" w:after="120"/>
        <w:jc w:val="both"/>
        <w:rPr>
          <w:rFonts w:cs="Arial"/>
          <w:i/>
          <w:i/>
          <w:color w:val="FF0000"/>
          <w:sz w:val="24"/>
        </w:rPr>
      </w:pPr>
      <w:r>
        <w:rPr>
          <w:rFonts w:cs="Arial"/>
          <w:i/>
          <w:color w:val="FF0000"/>
          <w:sz w:val="24"/>
        </w:rPr>
      </w:r>
    </w:p>
    <w:p>
      <w:pPr>
        <w:pStyle w:val="Ttulo1"/>
        <w:numPr>
          <w:ilvl w:val="0"/>
          <w:numId w:val="1"/>
        </w:numPr>
        <w:rPr>
          <w:rFonts w:ascii="Arial" w:hAnsi="Arial" w:cs="Arial"/>
          <w:color w:val="auto"/>
          <w:sz w:val="24"/>
          <w:szCs w:val="24"/>
        </w:rPr>
      </w:pPr>
      <w:bookmarkStart w:id="3" w:name="_Toc104906820"/>
      <w:r>
        <w:rPr>
          <w:rFonts w:cs="Arial" w:ascii="Arial" w:hAnsi="Arial"/>
          <w:color w:val="auto"/>
          <w:sz w:val="24"/>
          <w:szCs w:val="24"/>
        </w:rPr>
        <w:t>INGRESSO NA DISPENSA ELETRÔNICA E CADASTRAMENTO DA PROPOSTA INICIAL</w:t>
      </w:r>
      <w:bookmarkEnd w:id="3"/>
    </w:p>
    <w:p>
      <w:pPr>
        <w:pStyle w:val="Normal"/>
        <w:numPr>
          <w:ilvl w:val="1"/>
          <w:numId w:val="1"/>
        </w:numPr>
        <w:snapToGrid w:val="false"/>
        <w:spacing w:lineRule="auto" w:line="276" w:before="120" w:after="120"/>
        <w:ind w:left="857" w:hanging="432"/>
        <w:jc w:val="both"/>
        <w:rPr>
          <w:rFonts w:cs="Arial"/>
          <w:sz w:val="24"/>
        </w:rPr>
      </w:pPr>
      <w:r>
        <w:rPr>
          <w:rFonts w:cs="Arial"/>
          <w:color w:val="000000" w:themeColor="text1"/>
          <w:sz w:val="24"/>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cs="Arial"/>
          <w:color w:val="000000" w:themeColor="text1"/>
          <w:sz w:val="24"/>
        </w:rPr>
      </w:pPr>
      <w:r>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cs="Arial"/>
          <w:sz w:val="24"/>
        </w:rPr>
      </w:pPr>
      <w:r>
        <w:rPr>
          <w:rFonts w:cs="Arial"/>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hanging="0"/>
        <w:jc w:val="both"/>
        <w:rPr>
          <w:rFonts w:cs="Arial"/>
          <w:sz w:val="24"/>
        </w:rPr>
      </w:pPr>
      <w:r>
        <w:rPr>
          <w:rFonts w:cs="Arial"/>
          <w:sz w:val="24"/>
        </w:rPr>
        <w:t xml:space="preserve">Todas as especificações do </w:t>
      </w:r>
      <w:r>
        <w:rPr>
          <w:rFonts w:cs="Arial"/>
          <w:color w:val="000000" w:themeColor="text1"/>
          <w:sz w:val="24"/>
        </w:rPr>
        <w:t>objeto</w:t>
      </w:r>
      <w:r>
        <w:rPr>
          <w:rFonts w:cs="Arial"/>
          <w:sz w:val="24"/>
        </w:rPr>
        <w:t xml:space="preserve"> contidas na proposta, em especial o preço, vinculam a Contratada.</w:t>
      </w:r>
    </w:p>
    <w:p>
      <w:pPr>
        <w:pStyle w:val="Normal"/>
        <w:numPr>
          <w:ilvl w:val="1"/>
          <w:numId w:val="1"/>
        </w:numPr>
        <w:spacing w:lineRule="auto" w:line="276" w:before="120" w:after="120"/>
        <w:ind w:left="425" w:hanging="0"/>
        <w:jc w:val="both"/>
        <w:rPr>
          <w:rFonts w:cs="Arial"/>
          <w:sz w:val="24"/>
        </w:rPr>
      </w:pPr>
      <w:r>
        <w:rPr>
          <w:rFonts w:cs="Arial"/>
          <w:sz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cs="Arial"/>
          <w:sz w:val="24"/>
        </w:rPr>
      </w:pPr>
      <w:r>
        <w:rPr>
          <w:rFonts w:cs="Arial"/>
          <w:sz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cs="Arial"/>
          <w:sz w:val="24"/>
        </w:rPr>
      </w:pPr>
      <w:r>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cs="Arial"/>
          <w:sz w:val="24"/>
        </w:rPr>
      </w:pPr>
      <w:r>
        <w:rPr>
          <w:rFonts w:cs="Arial"/>
          <w:sz w:val="24"/>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rFonts w:cs="Arial"/>
          <w:sz w:val="24"/>
        </w:rPr>
      </w:pPr>
      <w:r>
        <w:rPr>
          <w:rFonts w:cs="Arial"/>
          <w:sz w:val="24"/>
        </w:rPr>
        <w:t xml:space="preserve">A apresentação das propostas implica obrigatoriedade do cumprimento das disposições nelas contidas, em conformidade com o que dispõe o </w:t>
      </w:r>
      <w:r>
        <w:rPr>
          <w:rFonts w:cs="Arial"/>
          <w:i/>
          <w:sz w:val="24"/>
        </w:rPr>
        <w:t>Termo de Referência e Projeto Básico</w:t>
      </w:r>
      <w:r>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rFonts w:cs="Arial"/>
          <w:color w:val="000000" w:themeColor="text1"/>
          <w:sz w:val="24"/>
        </w:rPr>
      </w:pPr>
      <w:commentRangeStart w:id="2"/>
      <w:r>
        <w:rPr>
          <w:rFonts w:cs="Arial"/>
          <w:sz w:val="24"/>
        </w:rPr>
        <w:t xml:space="preserve">Uma vez enviada a proposta no sistema, os fornecedores </w:t>
      </w:r>
      <w:r>
        <w:rPr>
          <w:rFonts w:cs="Arial"/>
          <w:b/>
          <w:bCs/>
          <w:sz w:val="24"/>
        </w:rPr>
        <w:t>NÃO</w:t>
      </w:r>
      <w:r>
        <w:rPr>
          <w:rFonts w:cs="Arial"/>
          <w:sz w:val="24"/>
        </w:rPr>
        <w:t xml:space="preserve"> poderão retirá-la, substituí-la ou modificá-la</w:t>
      </w:r>
      <w:r>
        <w:rPr>
          <w:rFonts w:cs="Arial"/>
          <w:color w:val="000000"/>
          <w:sz w:val="24"/>
        </w:rPr>
        <w:t>;</w:t>
      </w:r>
      <w:commentRangeEnd w:id="2"/>
      <w:r>
        <w:commentReference w:id="2"/>
      </w:r>
      <w:r>
        <w:rPr>
          <w:rFonts w:cs="Arial"/>
          <w:color w:val="000000"/>
          <w:sz w:val="24"/>
        </w:rPr>
      </w:r>
    </w:p>
    <w:p>
      <w:pPr>
        <w:pStyle w:val="Normal"/>
        <w:numPr>
          <w:ilvl w:val="1"/>
          <w:numId w:val="1"/>
        </w:numPr>
        <w:spacing w:lineRule="auto" w:line="276" w:before="120" w:after="120"/>
        <w:ind w:left="425" w:hanging="0"/>
        <w:jc w:val="both"/>
        <w:rPr>
          <w:rFonts w:cs="Arial"/>
          <w:color w:val="000000" w:themeColor="text1"/>
          <w:sz w:val="24"/>
        </w:rPr>
      </w:pPr>
      <w:commentRangeStart w:id="3"/>
      <w:r>
        <w:rPr>
          <w:rFonts w:cs="Arial"/>
          <w:color w:val="000000"/>
          <w:sz w:val="24"/>
        </w:rPr>
        <w:t xml:space="preserve">No cadastramento da proposta inicial, o fornecedor deverá, também, assinalar “sim” ou “não” em campo </w:t>
      </w:r>
      <w:r>
        <w:rPr>
          <w:rFonts w:cs="Arial"/>
          <w:sz w:val="24"/>
        </w:rPr>
        <w:t>próprio</w:t>
      </w:r>
      <w:r>
        <w:rPr>
          <w:rFonts w:cs="Arial"/>
          <w:color w:val="000000"/>
          <w:sz w:val="24"/>
        </w:rPr>
        <w:t xml:space="preserve"> do sistema eletrônico, às seguintes declarações:</w:t>
      </w:r>
      <w:commentRangeEnd w:id="3"/>
      <w:r>
        <w:commentReference w:id="3"/>
      </w:r>
      <w:r>
        <w:rPr>
          <w:rFonts w:cs="Arial"/>
          <w:color w:val="000000"/>
          <w:sz w:val="24"/>
        </w:rPr>
      </w:r>
    </w:p>
    <w:p>
      <w:pPr>
        <w:pStyle w:val="ListParagraph"/>
        <w:numPr>
          <w:ilvl w:val="0"/>
          <w:numId w:val="2"/>
        </w:numPr>
        <w:tabs>
          <w:tab w:val="clear" w:pos="708"/>
          <w:tab w:val="left" w:pos="1440" w:leader="none"/>
        </w:tabs>
        <w:snapToGrid w:val="false"/>
        <w:spacing w:lineRule="auto" w:line="276" w:before="120" w:after="120"/>
        <w:contextualSpacing/>
        <w:jc w:val="both"/>
        <w:rPr>
          <w:rFonts w:cs="Arial"/>
          <w:bCs/>
          <w:vanish/>
          <w:color w:val="000000"/>
          <w:sz w:val="24"/>
        </w:rPr>
      </w:pPr>
      <w:r>
        <w:rPr>
          <w:rFonts w:cs="Arial"/>
          <w:bCs/>
          <w:vanish/>
          <w:color w:val="000000"/>
          <w:sz w:val="24"/>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sz w:val="24"/>
        </w:rPr>
      </w:pPr>
      <w:r>
        <w:rPr>
          <w:rFonts w:cs="Arial"/>
          <w:bCs/>
          <w:vanish/>
          <w:color w:val="000000"/>
          <w:sz w:val="24"/>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sz w:val="24"/>
        </w:rPr>
      </w:pPr>
      <w:r>
        <w:rPr>
          <w:rFonts w:cs="Arial"/>
          <w:bCs/>
          <w:vanish/>
          <w:color w:val="000000"/>
          <w:sz w:val="24"/>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sz w:val="24"/>
        </w:rPr>
      </w:pPr>
      <w:r>
        <w:rPr>
          <w:rFonts w:cs="Arial"/>
          <w:bCs/>
          <w:vanish/>
          <w:color w:val="000000"/>
          <w:sz w:val="24"/>
        </w:rPr>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 xml:space="preserve">que </w:t>
      </w:r>
      <w:r>
        <w:rPr>
          <w:rFonts w:cs="Arial"/>
          <w:color w:val="000000"/>
          <w:sz w:val="24"/>
        </w:rPr>
        <w:t>cumpre</w:t>
      </w:r>
      <w:r>
        <w:rPr>
          <w:rFonts w:cs="Arial"/>
          <w:color w:val="000000" w:themeColor="text1"/>
          <w:sz w:val="24"/>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assume a responsabilidade pelas transações que forem efetuadas no sistema, assumindo como firmes e verdadeiras;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pPr>
        <w:pStyle w:val="Normal"/>
        <w:numPr>
          <w:ilvl w:val="1"/>
          <w:numId w:val="1"/>
        </w:numPr>
        <w:spacing w:lineRule="auto" w:line="276" w:before="120" w:after="120"/>
        <w:jc w:val="both"/>
        <w:rPr>
          <w:rFonts w:cs="Arial"/>
          <w:i/>
          <w:i/>
          <w:color w:val="FF0000"/>
          <w:sz w:val="24"/>
        </w:rPr>
      </w:pPr>
      <w:r>
        <w:rPr>
          <w:rFonts w:cs="Arial"/>
          <w:i/>
          <w:color w:val="FF0000"/>
          <w:sz w:val="24"/>
        </w:rPr>
      </w:r>
    </w:p>
    <w:p>
      <w:pPr>
        <w:pStyle w:val="Normal"/>
        <w:spacing w:lineRule="auto" w:line="276" w:before="120" w:after="120"/>
        <w:ind w:left="1224" w:hanging="0"/>
        <w:jc w:val="both"/>
        <w:rPr>
          <w:rFonts w:cs="Arial"/>
          <w:i/>
          <w:i/>
          <w:color w:val="FF0000"/>
          <w:sz w:val="24"/>
        </w:rPr>
      </w:pPr>
      <w:r>
        <w:rPr>
          <w:rFonts w:cs="Arial"/>
          <w:i/>
          <w:color w:val="FF0000"/>
          <w:sz w:val="24"/>
        </w:rPr>
      </w:r>
    </w:p>
    <w:p>
      <w:pPr>
        <w:pStyle w:val="Normal"/>
        <w:spacing w:lineRule="auto" w:line="276" w:before="120" w:after="120"/>
        <w:ind w:left="1224" w:hanging="0"/>
        <w:jc w:val="both"/>
        <w:rPr>
          <w:rFonts w:cs="Arial"/>
          <w:i/>
          <w:i/>
          <w:color w:val="FF0000"/>
          <w:sz w:val="24"/>
        </w:rPr>
      </w:pPr>
      <w:r>
        <w:rPr>
          <w:rFonts w:cs="Arial"/>
          <w:i/>
          <w:color w:val="FF0000"/>
          <w:sz w:val="24"/>
        </w:rPr>
      </w:r>
    </w:p>
    <w:p>
      <w:pPr>
        <w:pStyle w:val="Normal"/>
        <w:spacing w:lineRule="auto" w:line="276" w:before="120" w:after="120"/>
        <w:ind w:left="1224" w:hanging="0"/>
        <w:jc w:val="both"/>
        <w:rPr>
          <w:rFonts w:cs="Arial"/>
          <w:i/>
          <w:i/>
          <w:color w:val="FF0000"/>
          <w:sz w:val="24"/>
        </w:rPr>
      </w:pPr>
      <w:r>
        <w:rPr>
          <w:rFonts w:cs="Arial"/>
          <w:i/>
          <w:color w:val="FF0000"/>
          <w:sz w:val="24"/>
        </w:rPr>
      </w:r>
    </w:p>
    <w:p>
      <w:pPr>
        <w:pStyle w:val="Normal"/>
        <w:spacing w:lineRule="auto" w:line="276" w:before="120" w:after="120"/>
        <w:ind w:left="720" w:hanging="0"/>
        <w:jc w:val="both"/>
        <w:rPr>
          <w:rFonts w:cs="Arial"/>
          <w:i/>
          <w:i/>
          <w:color w:val="FF0000"/>
          <w:sz w:val="24"/>
        </w:rPr>
      </w:pPr>
      <w:r>
        <w:rPr>
          <w:rFonts w:cs="Arial"/>
          <w:i/>
          <w:color w:val="FF0000"/>
          <w:sz w:val="24"/>
        </w:rPr>
      </w:r>
    </w:p>
    <w:p>
      <w:pPr>
        <w:pStyle w:val="Ttulo1"/>
        <w:numPr>
          <w:ilvl w:val="0"/>
          <w:numId w:val="1"/>
        </w:numPr>
        <w:rPr>
          <w:rFonts w:ascii="Arial" w:hAnsi="Arial" w:cs="Arial"/>
          <w:color w:val="auto"/>
          <w:sz w:val="24"/>
          <w:szCs w:val="24"/>
        </w:rPr>
      </w:pPr>
      <w:bookmarkStart w:id="4" w:name="_Toc104906821"/>
      <w:r>
        <w:rPr>
          <w:rFonts w:cs="Arial" w:ascii="Arial" w:hAnsi="Arial"/>
          <w:color w:val="auto"/>
          <w:sz w:val="24"/>
          <w:szCs w:val="24"/>
        </w:rPr>
        <w:t>FASE DE LANCES</w:t>
      </w:r>
      <w:bookmarkEnd w:id="4"/>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 xml:space="preserve">A partir das 8:00h da data estabelecida neste Aviso de Contratação Direta, a sessão pública será automaticamente aberta pelo sistema para o envio de lances públicos e sucessivos, </w:t>
      </w:r>
      <w:r>
        <w:rPr>
          <w:rFonts w:cs="Arial"/>
          <w:bCs/>
          <w:sz w:val="24"/>
          <w:lang w:eastAsia="en-US"/>
        </w:rPr>
        <w:t>exclusivamente por meio do sistema eletrônico</w:t>
      </w:r>
      <w:r>
        <w:rPr>
          <w:rFonts w:cs="Arial"/>
          <w:sz w:val="24"/>
          <w:lang w:eastAsia="en-US"/>
        </w:rPr>
        <w:t xml:space="preserve">, </w:t>
      </w:r>
      <w:r>
        <w:rPr>
          <w:rFonts w:cs="Arial"/>
          <w:color w:val="000000" w:themeColor="text1"/>
          <w:sz w:val="24"/>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cs="Arial"/>
          <w:color w:val="000000" w:themeColor="text1"/>
          <w:sz w:val="24"/>
          <w:lang w:eastAsia="en-US"/>
        </w:rPr>
      </w:pPr>
      <w:commentRangeStart w:id="4"/>
      <w:r>
        <w:rPr>
          <w:rFonts w:cs="Arial"/>
          <w:sz w:val="24"/>
        </w:rPr>
        <w:t>O lance deverá ser ofertado pelo valor total</w:t>
      </w:r>
      <w:r>
        <w:rPr>
          <w:rFonts w:cs="Arial"/>
          <w:i/>
          <w:iCs/>
          <w:color w:val="FF0000"/>
          <w:sz w:val="24"/>
        </w:rPr>
        <w:t>.</w:t>
      </w:r>
      <w:commentRangeEnd w:id="4"/>
      <w:r>
        <w:commentReference w:id="4"/>
      </w:r>
      <w:r>
        <w:rPr>
          <w:rFonts w:cs="Arial"/>
          <w:i/>
          <w:iCs/>
          <w:color w:val="FF0000"/>
          <w:sz w:val="24"/>
        </w:rPr>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cs="Arial"/>
          <w:color w:val="000000" w:themeColor="text1"/>
          <w:sz w:val="24"/>
          <w:lang w:eastAsia="en-US"/>
        </w:rPr>
      </w:pPr>
      <w:r>
        <w:rPr>
          <w:rFonts w:cs="Arial"/>
          <w:sz w:val="24"/>
        </w:rPr>
        <w:t>O intervalo mínimo de diferença de valores ou percentuais entre os lances, que incidirá tanto em relação aos lances intermediários quanto em relação ao que cobrir a melhor oferta é de0,01</w:t>
      </w:r>
      <w:r>
        <w:rPr>
          <w:rFonts w:cs="Arial"/>
          <w:i/>
          <w:iCs/>
          <w:color w:val="000000" w:themeColor="text1"/>
          <w:sz w:val="24"/>
          <w:lang w:eastAsia="en-US"/>
        </w:rPr>
        <w:t>.</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sz w:val="24"/>
        </w:rPr>
      </w:pPr>
      <w:r>
        <w:rPr>
          <w:rFonts w:cs="Arial"/>
          <w:color w:val="000000" w:themeColor="text1"/>
          <w:sz w:val="24"/>
          <w:lang w:eastAsia="en-US"/>
        </w:rPr>
        <w:t>O encerramento da fase de lances ocorrerá de forma automática pontualmente no horário indicado, sem qualquer possibilidade de prorrogação e não havendo tempo aleatório ou mecanismo similar.</w:t>
      </w:r>
    </w:p>
    <w:p>
      <w:pPr>
        <w:pStyle w:val="Normal"/>
        <w:spacing w:lineRule="auto" w:line="276" w:before="120" w:after="120"/>
        <w:ind w:left="720" w:hanging="0"/>
        <w:jc w:val="both"/>
        <w:rPr>
          <w:rFonts w:cs="Arial"/>
          <w:sz w:val="24"/>
        </w:rPr>
      </w:pPr>
      <w:r>
        <w:rPr>
          <w:rFonts w:cs="Arial"/>
          <w:sz w:val="24"/>
        </w:rPr>
      </w:r>
    </w:p>
    <w:p>
      <w:pPr>
        <w:pStyle w:val="Ttulo1"/>
        <w:numPr>
          <w:ilvl w:val="0"/>
          <w:numId w:val="1"/>
        </w:numPr>
        <w:rPr>
          <w:rFonts w:ascii="Arial" w:hAnsi="Arial" w:cs="Arial"/>
          <w:color w:val="auto"/>
          <w:sz w:val="24"/>
          <w:szCs w:val="24"/>
        </w:rPr>
      </w:pPr>
      <w:bookmarkStart w:id="5" w:name="_Toc104906822"/>
      <w:r>
        <w:rPr>
          <w:rFonts w:cs="Arial" w:ascii="Arial" w:hAnsi="Arial"/>
          <w:color w:val="auto"/>
          <w:sz w:val="24"/>
          <w:szCs w:val="24"/>
        </w:rPr>
        <w:t>JULGAMENTO DAS PROPOSTAS DE PREÇO</w:t>
      </w:r>
      <w:bookmarkEnd w:id="5"/>
    </w:p>
    <w:p>
      <w:pPr>
        <w:pStyle w:val="ListParagraph"/>
        <w:numPr>
          <w:ilvl w:val="1"/>
          <w:numId w:val="1"/>
        </w:numPr>
        <w:spacing w:lineRule="auto" w:line="276" w:before="120" w:after="120"/>
        <w:contextualSpacing/>
        <w:jc w:val="both"/>
        <w:rPr>
          <w:rFonts w:cs="Arial"/>
          <w:sz w:val="24"/>
        </w:rPr>
      </w:pPr>
      <w:r>
        <w:rPr>
          <w:rFonts w:cs="Arial"/>
          <w:sz w:val="24"/>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cs="Arial"/>
          <w:sz w:val="24"/>
        </w:rPr>
      </w:pPr>
      <w:r>
        <w:rPr>
          <w:rFonts w:cs="Arial"/>
          <w:sz w:val="24"/>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cs="Arial"/>
          <w:sz w:val="24"/>
        </w:rPr>
      </w:pPr>
      <w:r>
        <w:rPr>
          <w:rFonts w:cs="Arial"/>
          <w:color w:val="000000"/>
          <w:sz w:val="24"/>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cs="Arial"/>
          <w:sz w:val="24"/>
        </w:rPr>
      </w:pPr>
      <w:r>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cs="Arial"/>
          <w:sz w:val="24"/>
        </w:rPr>
      </w:pPr>
      <w:r>
        <w:rPr>
          <w:rFonts w:cs="Arial"/>
          <w:sz w:val="24"/>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rFonts w:cs="Arial"/>
          <w:sz w:val="24"/>
        </w:rPr>
      </w:pPr>
      <w:r>
        <w:rPr>
          <w:rFonts w:cs="Arial"/>
          <w:sz w:val="24"/>
        </w:rPr>
        <w:t>Estando o preço compatível, será solicitado o envio da proposta e, se necessário, de documentos complementares, adequada ao último lance.</w:t>
      </w:r>
      <w:commentRangeStart w:id="5"/>
      <w:r>
        <w:rPr>
          <w:rFonts w:cs="Arial"/>
          <w:i/>
          <w:iCs/>
          <w:color w:val="FF0000"/>
          <w:sz w:val="24"/>
        </w:rPr>
        <w:t>.</w:t>
      </w:r>
      <w:commentRangeEnd w:id="5"/>
      <w:r>
        <w:commentReference w:id="5"/>
      </w:r>
      <w:r>
        <w:rPr>
          <w:rFonts w:cs="Arial"/>
          <w:i/>
          <w:iCs/>
          <w:color w:val="FF0000"/>
          <w:sz w:val="24"/>
        </w:rPr>
      </w:r>
    </w:p>
    <w:p>
      <w:pPr>
        <w:pStyle w:val="Normal"/>
        <w:numPr>
          <w:ilvl w:val="1"/>
          <w:numId w:val="1"/>
        </w:numPr>
        <w:spacing w:lineRule="auto" w:line="276" w:before="120" w:after="120"/>
        <w:jc w:val="both"/>
        <w:rPr>
          <w:rFonts w:cs="Arial"/>
          <w:color w:val="000000" w:themeColor="text1"/>
          <w:sz w:val="24"/>
        </w:rPr>
      </w:pPr>
      <w:commentRangeStart w:id="6"/>
      <w:r>
        <w:rPr>
          <w:rFonts w:cs="Arial"/>
          <w:color w:val="000000" w:themeColor="text1"/>
          <w:sz w:val="24"/>
        </w:rPr>
        <w:t xml:space="preserve">O prazo de validade </w:t>
      </w:r>
      <w:r>
        <w:rPr>
          <w:rFonts w:cs="Arial"/>
          <w:sz w:val="24"/>
        </w:rPr>
        <w:t>da</w:t>
      </w:r>
      <w:r>
        <w:rPr>
          <w:rFonts w:cs="Arial"/>
          <w:color w:val="000000" w:themeColor="text1"/>
          <w:sz w:val="24"/>
        </w:rPr>
        <w:t xml:space="preserve"> proposta não será inferior a </w:t>
      </w:r>
      <w:r>
        <w:rPr>
          <w:rFonts w:cs="Arial"/>
          <w:sz w:val="24"/>
        </w:rPr>
        <w:t>60 (sessenta)</w:t>
      </w:r>
      <w:r>
        <w:rPr>
          <w:rFonts w:cs="Arial"/>
          <w:color w:val="000000" w:themeColor="text1"/>
          <w:sz w:val="24"/>
        </w:rPr>
        <w:t xml:space="preserve"> dias</w:t>
      </w:r>
      <w:r>
        <w:rPr>
          <w:rFonts w:cs="Arial"/>
          <w:b/>
          <w:bCs/>
          <w:color w:val="000000" w:themeColor="text1"/>
          <w:sz w:val="24"/>
        </w:rPr>
        <w:t>,</w:t>
      </w:r>
      <w:r>
        <w:rPr>
          <w:rFonts w:cs="Arial"/>
          <w:color w:val="000000" w:themeColor="text1"/>
          <w:sz w:val="24"/>
        </w:rPr>
        <w:t xml:space="preserve"> a contar da data de sua apresentação.</w:t>
      </w:r>
      <w:commentRangeEnd w:id="6"/>
      <w:r>
        <w:commentReference w:id="6"/>
      </w:r>
      <w:r>
        <w:rPr>
          <w:rFonts w:cs="Arial"/>
          <w:color w:val="000000" w:themeColor="text1"/>
          <w:sz w:val="24"/>
        </w:rPr>
      </w:r>
    </w:p>
    <w:p>
      <w:pPr>
        <w:pStyle w:val="ListParagraph"/>
        <w:numPr>
          <w:ilvl w:val="1"/>
          <w:numId w:val="1"/>
        </w:numPr>
        <w:spacing w:lineRule="auto" w:line="276" w:before="120" w:after="120"/>
        <w:contextualSpacing/>
        <w:jc w:val="both"/>
        <w:rPr>
          <w:rFonts w:cs="Arial"/>
          <w:i/>
          <w:i/>
          <w:color w:val="000000" w:themeColor="text1"/>
          <w:sz w:val="24"/>
        </w:rPr>
      </w:pPr>
      <w:r>
        <w:rPr>
          <w:rFonts w:cs="Arial"/>
          <w:color w:val="000000" w:themeColor="text1"/>
          <w:sz w:val="24"/>
          <w:lang w:eastAsia="en-US"/>
        </w:rPr>
        <w:t xml:space="preserve">Será desclassificada a proposta vencedora que: </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contiver vícios insanáveis</w:t>
      </w:r>
      <w:r>
        <w:rPr>
          <w:rFonts w:cs="Arial"/>
          <w:iCs/>
          <w:color w:val="000000" w:themeColor="text1"/>
          <w:sz w:val="24"/>
        </w:rPr>
        <w:t>;</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não obedecer às especificações técnicas pormenorizadas neste aviso ou em seus anexos</w:t>
      </w:r>
      <w:r>
        <w:rPr>
          <w:rFonts w:cs="Arial"/>
          <w:iCs/>
          <w:color w:val="000000" w:themeColor="text1"/>
          <w:sz w:val="24"/>
        </w:rPr>
        <w:t>;</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não tiverem sua exequibilidade demonstrada, quando exigido pela Administração</w:t>
      </w:r>
      <w:r>
        <w:rPr>
          <w:rFonts w:cs="Arial"/>
          <w:iCs/>
          <w:color w:val="000000" w:themeColor="text1"/>
          <w:sz w:val="24"/>
        </w:rPr>
        <w:t>;</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cs="Arial"/>
          <w:i/>
          <w:i/>
          <w:color w:val="000000" w:themeColor="text1"/>
          <w:sz w:val="24"/>
        </w:rPr>
      </w:pPr>
      <w:r>
        <w:rPr>
          <w:rFonts w:cs="Arial"/>
          <w:color w:val="000000" w:themeColor="text1"/>
          <w:sz w:val="24"/>
          <w:lang w:eastAsia="en-US"/>
        </w:rPr>
        <w:t>Quando</w:t>
      </w:r>
      <w:r>
        <w:rPr>
          <w:rFonts w:cs="Arial"/>
          <w:sz w:val="24"/>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cs="Arial"/>
          <w:i/>
          <w:i/>
          <w:color w:val="000000" w:themeColor="text1"/>
          <w:sz w:val="24"/>
        </w:rPr>
      </w:pPr>
      <w:r>
        <w:rPr>
          <w:rFonts w:cs="Arial"/>
          <w:sz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cs="Arial"/>
          <w:color w:val="000000" w:themeColor="text1"/>
          <w:sz w:val="24"/>
        </w:rPr>
      </w:pPr>
      <w:r>
        <w:rPr>
          <w:rFonts w:cs="Arial"/>
          <w:sz w:val="24"/>
        </w:rPr>
        <w:t>apresentar um ou mais valores da planilha de custo que sejam inferiores àqueles fixados em instrumentos de caráter normativo obrigatório, tais como leis, medidas provisórias e convenções coletivas de trabalho vigentes.</w:t>
      </w:r>
    </w:p>
    <w:p>
      <w:pPr>
        <w:pStyle w:val="ListParagraph"/>
        <w:spacing w:lineRule="auto" w:line="276" w:before="120" w:after="120"/>
        <w:ind w:left="1152" w:right="-15" w:hanging="0"/>
        <w:contextualSpacing/>
        <w:jc w:val="both"/>
        <w:rPr>
          <w:rFonts w:cs="Arial"/>
          <w:i/>
          <w:i/>
          <w:color w:val="FF0000"/>
          <w:sz w:val="24"/>
          <w:lang w:eastAsia="en-US"/>
        </w:rPr>
      </w:pPr>
      <w:commentRangeStart w:id="7"/>
      <w:r>
        <w:rPr>
          <w:rFonts w:cs="Arial"/>
          <w:i/>
          <w:color w:val="FF0000"/>
          <w:sz w:val="24"/>
        </w:rPr>
        <w:t>.</w:t>
      </w:r>
      <w:commentRangeEnd w:id="7"/>
      <w:r>
        <w:commentReference w:id="7"/>
      </w:r>
      <w:r>
        <w:rPr>
          <w:rFonts w:cs="Arial"/>
          <w:i/>
          <w:color w:val="FF0000"/>
          <w:sz w:val="24"/>
        </w:rPr>
      </w:r>
    </w:p>
    <w:p>
      <w:pPr>
        <w:pStyle w:val="ListParagraph"/>
        <w:numPr>
          <w:ilvl w:val="1"/>
          <w:numId w:val="1"/>
        </w:numPr>
        <w:spacing w:lineRule="auto" w:line="276" w:before="120" w:after="120"/>
        <w:ind w:left="792" w:right="-15" w:hanging="432"/>
        <w:contextualSpacing/>
        <w:jc w:val="both"/>
        <w:rPr>
          <w:rFonts w:cs="Arial"/>
          <w:color w:val="000000" w:themeColor="text1"/>
          <w:sz w:val="24"/>
          <w:lang w:eastAsia="en-US"/>
        </w:rPr>
      </w:pPr>
      <w:r>
        <w:rPr>
          <w:rFonts w:cs="Arial"/>
          <w:color w:val="000000" w:themeColor="text1"/>
          <w:sz w:val="24"/>
          <w:lang w:eastAsia="en-US"/>
        </w:rPr>
        <w:t xml:space="preserve">Se houver indícios de inexequibilidade da proposta de preço, ou em caso da necessidade de esclarecimentos </w:t>
      </w:r>
      <w:r>
        <w:rPr>
          <w:rFonts w:cs="Arial"/>
          <w:sz w:val="24"/>
        </w:rPr>
        <w:t>complementares</w:t>
      </w:r>
      <w:r>
        <w:rPr>
          <w:rFonts w:cs="Arial"/>
          <w:color w:val="000000" w:themeColor="text1"/>
          <w:sz w:val="24"/>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 xml:space="preserve">Erros no preenchimento da planilha não constituem motivo para a desclassificação da proposta. A planilha </w:t>
      </w:r>
      <w:r>
        <w:rPr>
          <w:rFonts w:cs="Arial"/>
          <w:sz w:val="24"/>
        </w:rPr>
        <w:t>poderá́</w:t>
      </w:r>
      <w:r>
        <w:rPr>
          <w:rFonts w:cs="Arial"/>
          <w:color w:val="000000" w:themeColor="text1"/>
          <w:sz w:val="24"/>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Considera-se erro no preenchimento da planilha passível de correção a indicação de recolhimento de impostos e contribuições na forma do Simples Nacional, quando não cabível esse regime.</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Encerrada a análise quanto à aceitação da proposta, se iniciará a fase de habilitação, observado o disposto neste Aviso de Contratação Direta. </w:t>
      </w:r>
    </w:p>
    <w:p>
      <w:pPr>
        <w:pStyle w:val="Normal"/>
        <w:spacing w:lineRule="auto" w:line="276" w:before="120" w:after="120"/>
        <w:ind w:left="360" w:hanging="0"/>
        <w:jc w:val="both"/>
        <w:rPr>
          <w:rFonts w:cs="Arial"/>
          <w:color w:val="000000" w:themeColor="text1"/>
          <w:sz w:val="24"/>
          <w:lang w:eastAsia="en-US"/>
        </w:rPr>
      </w:pPr>
      <w:r>
        <w:rPr>
          <w:rFonts w:cs="Arial"/>
          <w:color w:val="000000" w:themeColor="text1"/>
          <w:sz w:val="24"/>
          <w:lang w:eastAsia="en-US"/>
        </w:rPr>
      </w:r>
    </w:p>
    <w:p>
      <w:pPr>
        <w:pStyle w:val="Ttulo1"/>
        <w:numPr>
          <w:ilvl w:val="0"/>
          <w:numId w:val="1"/>
        </w:numPr>
        <w:rPr>
          <w:rFonts w:ascii="Arial" w:hAnsi="Arial" w:cs="Arial"/>
          <w:color w:val="auto"/>
          <w:sz w:val="24"/>
          <w:szCs w:val="24"/>
        </w:rPr>
      </w:pPr>
      <w:bookmarkStart w:id="6" w:name="_Toc104906823"/>
      <w:r>
        <w:rPr>
          <w:rFonts w:cs="Arial" w:ascii="Arial" w:hAnsi="Arial"/>
          <w:color w:val="auto"/>
          <w:sz w:val="24"/>
          <w:szCs w:val="24"/>
        </w:rPr>
        <w:t>HABILITAÇÃO</w:t>
      </w:r>
      <w:bookmarkEnd w:id="6"/>
    </w:p>
    <w:p>
      <w:pPr>
        <w:pStyle w:val="ListParagraph"/>
        <w:numPr>
          <w:ilvl w:val="1"/>
          <w:numId w:val="1"/>
        </w:numPr>
        <w:spacing w:lineRule="auto" w:line="276" w:before="120" w:after="120"/>
        <w:contextualSpacing/>
        <w:jc w:val="both"/>
        <w:rPr>
          <w:rFonts w:cs="Arial"/>
          <w:b/>
          <w:b/>
          <w:sz w:val="24"/>
          <w:lang w:eastAsia="ar-SA"/>
        </w:rPr>
      </w:pPr>
      <w:r>
        <w:rPr>
          <w:rFonts w:cs="Arial"/>
          <w:sz w:val="24"/>
          <w:lang w:eastAsia="ar-SA"/>
        </w:rPr>
        <w:t xml:space="preserve">Os </w:t>
      </w:r>
      <w:r>
        <w:rPr>
          <w:rFonts w:cs="Arial"/>
          <w:color w:val="000000"/>
          <w:sz w:val="24"/>
        </w:rPr>
        <w:t>documentos</w:t>
      </w:r>
      <w:r>
        <w:rPr>
          <w:rFonts w:cs="Arial"/>
          <w:sz w:val="24"/>
          <w:lang w:eastAsia="ar-SA"/>
        </w:rPr>
        <w:t xml:space="preserve"> a serem exigidos para fins de habilitação constam do </w:t>
      </w:r>
      <w:r>
        <w:rPr>
          <w:rFonts w:cs="Arial"/>
          <w:b/>
          <w:sz w:val="24"/>
          <w:lang w:eastAsia="ar-SA"/>
        </w:rPr>
        <w:t xml:space="preserve">ANEXO I – DOCUMENTAÇÃO EXIGIDA PARA HABILITAÇÃO </w:t>
      </w:r>
      <w:r>
        <w:rPr>
          <w:rFonts w:cs="Arial"/>
          <w:sz w:val="24"/>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rFonts w:cs="Arial"/>
          <w:b/>
          <w:b/>
          <w:sz w:val="24"/>
          <w:lang w:eastAsia="ar-SA"/>
        </w:rPr>
      </w:pPr>
      <w:commentRangeStart w:id="8"/>
      <w:r>
        <w:rPr>
          <w:rFonts w:cs="Arial"/>
          <w:sz w:val="24"/>
          <w:lang w:eastAsia="ar-SA"/>
        </w:rPr>
        <w:t xml:space="preserve">Como </w:t>
      </w:r>
      <w:r>
        <w:rPr>
          <w:rFonts w:cs="Arial"/>
          <w:color w:val="000000"/>
          <w:sz w:val="24"/>
        </w:rPr>
        <w:t>condição</w:t>
      </w:r>
      <w:r>
        <w:rPr>
          <w:rFonts w:cs="Arial"/>
          <w:sz w:val="24"/>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contextualSpacing/>
        <w:jc w:val="both"/>
        <w:rPr>
          <w:rFonts w:cs="Arial"/>
          <w:sz w:val="24"/>
          <w:lang w:eastAsia="ar-SA"/>
        </w:rPr>
      </w:pPr>
      <w:r>
        <w:rPr>
          <w:rFonts w:cs="Arial"/>
          <w:sz w:val="24"/>
          <w:lang w:eastAsia="ar-SA"/>
        </w:rPr>
        <w:t xml:space="preserve">a) SICAF;  </w:t>
      </w:r>
    </w:p>
    <w:p>
      <w:pPr>
        <w:pStyle w:val="ListParagraph"/>
        <w:spacing w:lineRule="auto" w:line="276" w:before="120" w:after="120"/>
        <w:ind w:left="1134" w:hanging="0"/>
        <w:contextualSpacing/>
        <w:jc w:val="both"/>
        <w:rPr>
          <w:rFonts w:cs="Arial"/>
          <w:sz w:val="24"/>
          <w:lang w:eastAsia="ar-SA"/>
        </w:rPr>
      </w:pPr>
      <w:r>
        <w:rPr>
          <w:rFonts w:cs="Arial"/>
          <w:sz w:val="24"/>
          <w:lang w:eastAsia="ar-SA"/>
        </w:rPr>
        <w:t>b) Cadastro Nacional de Empresas Inidôneas e Suspensas - CEIS, mantido pela Controladoria-Geral da União (</w:t>
      </w:r>
      <w:hyperlink r:id="rId3">
        <w:r>
          <w:rPr>
            <w:rStyle w:val="LinkdaInternet"/>
            <w:rFonts w:eastAsia="Calibri" w:cs="Arial"/>
            <w:sz w:val="24"/>
            <w:lang w:eastAsia="ar-SA"/>
          </w:rPr>
          <w:t>www.portaldatransparencia.gov.br/ceis</w:t>
        </w:r>
      </w:hyperlink>
      <w:r>
        <w:rPr>
          <w:rFonts w:cs="Arial"/>
          <w:sz w:val="24"/>
          <w:lang w:eastAsia="ar-SA"/>
        </w:rPr>
        <w:t xml:space="preserve">);  </w:t>
      </w:r>
    </w:p>
    <w:p>
      <w:pPr>
        <w:pStyle w:val="ListParagraph"/>
        <w:spacing w:lineRule="auto" w:line="276" w:before="120" w:after="120"/>
        <w:ind w:left="1134" w:hanging="0"/>
        <w:contextualSpacing/>
        <w:jc w:val="both"/>
        <w:rPr>
          <w:rFonts w:cs="Arial"/>
          <w:sz w:val="24"/>
          <w:lang w:eastAsia="ar-SA"/>
        </w:rPr>
      </w:pPr>
      <w:r>
        <w:rPr>
          <w:rFonts w:cs="Arial"/>
          <w:sz w:val="24"/>
          <w:lang w:eastAsia="ar-SA"/>
        </w:rPr>
        <w:t>c) Cadastro Nacional de Condenações Cíveis por Atos de Improbidade Administrativa, mantido pelo Conselho Nacional de Justiça (</w:t>
      </w:r>
      <w:hyperlink r:id="rId4">
        <w:r>
          <w:rPr>
            <w:rStyle w:val="LinkdaInternet"/>
            <w:rFonts w:eastAsia="Calibri" w:cs="Arial"/>
            <w:sz w:val="24"/>
            <w:lang w:eastAsia="ar-SA"/>
          </w:rPr>
          <w:t>www.cnj.jus.br/improbidade_adm/consultar_requerido.php</w:t>
        </w:r>
      </w:hyperlink>
      <w:r>
        <w:rPr>
          <w:rFonts w:cs="Arial"/>
          <w:sz w:val="24"/>
          <w:lang w:eastAsia="ar-SA"/>
        </w:rPr>
        <w:t xml:space="preserve">).  </w:t>
      </w:r>
    </w:p>
    <w:p>
      <w:pPr>
        <w:pStyle w:val="ListParagraph"/>
        <w:spacing w:lineRule="auto" w:line="276" w:before="120" w:after="120"/>
        <w:ind w:left="1134" w:hanging="0"/>
        <w:contextualSpacing/>
        <w:jc w:val="both"/>
        <w:rPr>
          <w:rFonts w:cs="Arial"/>
          <w:sz w:val="24"/>
          <w:lang w:eastAsia="ar-SA"/>
        </w:rPr>
      </w:pPr>
      <w:r>
        <w:rPr>
          <w:rFonts w:cs="Arial"/>
          <w:sz w:val="24"/>
          <w:lang w:eastAsia="ar-SA"/>
        </w:rPr>
        <w:t xml:space="preserve">d) Lista de Inidôneos mantida pelo Tribunal de Contas da União - TCU; </w:t>
      </w:r>
      <w:commentRangeEnd w:id="8"/>
      <w:r>
        <w:commentReference w:id="8"/>
      </w:r>
      <w:r>
        <w:rPr>
          <w:rFonts w:cs="Arial"/>
          <w:sz w:val="24"/>
          <w:lang w:eastAsia="ar-SA"/>
        </w:rPr>
      </w:r>
    </w:p>
    <w:p>
      <w:pPr>
        <w:pStyle w:val="ListParagraph"/>
        <w:numPr>
          <w:ilvl w:val="2"/>
          <w:numId w:val="1"/>
        </w:numPr>
        <w:spacing w:lineRule="auto" w:line="276" w:before="120" w:after="120"/>
        <w:contextualSpacing/>
        <w:jc w:val="both"/>
        <w:rPr>
          <w:rFonts w:cs="Arial"/>
          <w:b/>
          <w:b/>
          <w:sz w:val="24"/>
        </w:rPr>
      </w:pPr>
      <w:r>
        <w:rPr>
          <w:rFonts w:cs="Arial"/>
          <w:sz w:val="24"/>
          <w:lang w:eastAsia="ar-SA"/>
        </w:rPr>
        <w:t xml:space="preserve">Para a consulta de </w:t>
      </w:r>
      <w:r>
        <w:rPr>
          <w:rFonts w:cs="Arial"/>
          <w:color w:val="000000" w:themeColor="text1"/>
          <w:sz w:val="24"/>
        </w:rPr>
        <w:t>fornecedores</w:t>
      </w:r>
      <w:r>
        <w:rPr>
          <w:rFonts w:cs="Arial"/>
          <w:sz w:val="24"/>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rFonts w:cs="Arial"/>
          <w:sz w:val="24"/>
        </w:rPr>
      </w:pPr>
      <w:r>
        <w:rPr>
          <w:rFonts w:cs="Arial"/>
          <w:color w:val="000000" w:themeColor="text1"/>
          <w:sz w:val="24"/>
        </w:rPr>
        <w:t xml:space="preserve">A consulta aos </w:t>
      </w:r>
      <w:r>
        <w:rPr>
          <w:rFonts w:cs="Arial"/>
          <w:sz w:val="24"/>
          <w:lang w:eastAsia="ar-SA"/>
        </w:rPr>
        <w:t>cadastros</w:t>
      </w:r>
      <w:r>
        <w:rPr>
          <w:rFonts w:cs="Arial"/>
          <w:color w:val="000000" w:themeColor="text1"/>
          <w:sz w:val="24"/>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cs="Arial"/>
          <w:sz w:val="24"/>
        </w:rPr>
      </w:pPr>
      <w:r>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cs="Arial"/>
          <w:color w:val="000000" w:themeColor="text1"/>
          <w:sz w:val="24"/>
        </w:rPr>
      </w:pPr>
      <w:r>
        <w:rPr>
          <w:rFonts w:cs="Arial"/>
          <w:color w:val="000000" w:themeColor="text1"/>
          <w:sz w:val="24"/>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cs="Arial"/>
          <w:sz w:val="24"/>
        </w:rPr>
      </w:pPr>
      <w:r>
        <w:rPr>
          <w:rFonts w:cs="Arial"/>
          <w:color w:val="000000" w:themeColor="text1"/>
          <w:sz w:val="24"/>
        </w:rPr>
        <w:t>O fornecedor será convocado para manifestação previamente à sua desclassificação</w:t>
      </w:r>
    </w:p>
    <w:p>
      <w:pPr>
        <w:pStyle w:val="ListParagraph"/>
        <w:numPr>
          <w:ilvl w:val="2"/>
          <w:numId w:val="1"/>
        </w:numPr>
        <w:spacing w:lineRule="auto" w:line="276" w:before="120" w:after="120"/>
        <w:contextualSpacing/>
        <w:jc w:val="both"/>
        <w:rPr>
          <w:rFonts w:cs="Arial"/>
          <w:sz w:val="24"/>
        </w:rPr>
      </w:pPr>
      <w:r>
        <w:rPr>
          <w:rFonts w:cs="Arial"/>
          <w:color w:val="000000" w:themeColor="text1"/>
          <w:sz w:val="24"/>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rFonts w:cs="Arial"/>
          <w:sz w:val="24"/>
        </w:rPr>
      </w:pPr>
      <w:r>
        <w:rPr>
          <w:rFonts w:cs="Arial"/>
          <w:color w:val="000000" w:themeColor="text1"/>
          <w:sz w:val="24"/>
        </w:rPr>
        <w:t xml:space="preserve">Caso atendidas as condições de participação, </w:t>
      </w:r>
      <w:r>
        <w:rPr>
          <w:rFonts w:cs="Arial"/>
          <w:sz w:val="24"/>
        </w:rPr>
        <w:t>a habilitação dos fornecedores será verificada por meio do SICAF, nos documentos por ele abrangidos</w:t>
      </w:r>
      <w:r>
        <w:rPr>
          <w:rFonts w:cs="Arial"/>
          <w:color w:val="000000" w:themeColor="text1"/>
          <w:sz w:val="24"/>
        </w:rPr>
        <w:t>.</w:t>
      </w:r>
    </w:p>
    <w:p>
      <w:pPr>
        <w:pStyle w:val="ListParagraph"/>
        <w:numPr>
          <w:ilvl w:val="2"/>
          <w:numId w:val="1"/>
        </w:numPr>
        <w:spacing w:lineRule="auto" w:line="276" w:before="120" w:after="120"/>
        <w:contextualSpacing/>
        <w:jc w:val="both"/>
        <w:rPr>
          <w:rFonts w:cs="Arial"/>
          <w:color w:val="000000" w:themeColor="text1"/>
          <w:sz w:val="24"/>
        </w:rPr>
      </w:pPr>
      <w:r>
        <w:rPr>
          <w:rFonts w:cs="Arial"/>
          <w:color w:val="000000" w:themeColor="text1"/>
          <w:sz w:val="24"/>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cs="Arial"/>
          <w:color w:val="000000" w:themeColor="text1"/>
          <w:sz w:val="24"/>
        </w:rPr>
      </w:pPr>
      <w:r>
        <w:rPr>
          <w:rFonts w:cs="Arial"/>
          <w:color w:val="000000" w:themeColor="text1"/>
          <w:sz w:val="24"/>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rFonts w:cs="Arial"/>
          <w:color w:val="000000" w:themeColor="text1"/>
          <w:sz w:val="24"/>
        </w:rPr>
      </w:pPr>
      <w:r>
        <w:rPr>
          <w:rFonts w:cs="Arial"/>
          <w:color w:val="000000" w:themeColor="text1"/>
          <w:sz w:val="24"/>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cs="Arial"/>
          <w:color w:val="000000" w:themeColor="text1"/>
          <w:sz w:val="24"/>
        </w:rPr>
      </w:pPr>
      <w:r>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rFonts w:cs="Arial"/>
          <w:b/>
          <w:b/>
          <w:bCs/>
          <w:sz w:val="24"/>
        </w:rPr>
      </w:pPr>
      <w:commentRangeStart w:id="9"/>
      <w:r>
        <w:rPr>
          <w:rFonts w:cs="Arial"/>
          <w:bCs/>
          <w:sz w:val="24"/>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commentRangeEnd w:id="9"/>
      <w:r>
        <w:commentReference w:id="9"/>
      </w:r>
      <w:r>
        <w:rPr>
          <w:rFonts w:cs="Arial"/>
          <w:bCs/>
          <w:sz w:val="24"/>
        </w:rPr>
      </w:r>
    </w:p>
    <w:p>
      <w:pPr>
        <w:pStyle w:val="ListParagraph"/>
        <w:spacing w:lineRule="auto" w:line="276" w:before="120" w:after="120"/>
        <w:ind w:left="1010" w:hanging="0"/>
        <w:contextualSpacing/>
        <w:jc w:val="both"/>
        <w:rPr>
          <w:rFonts w:cs="Arial"/>
          <w:i/>
          <w:i/>
          <w:color w:val="FF0000"/>
          <w:sz w:val="24"/>
        </w:rPr>
      </w:pPr>
      <w:r>
        <w:rPr>
          <w:rFonts w:cs="Arial"/>
          <w:i/>
          <w:color w:val="FF0000"/>
          <w:sz w:val="24"/>
        </w:rPr>
      </w:r>
    </w:p>
    <w:p>
      <w:pPr>
        <w:pStyle w:val="ListParagraph"/>
        <w:numPr>
          <w:ilvl w:val="1"/>
          <w:numId w:val="1"/>
        </w:numPr>
        <w:spacing w:lineRule="auto" w:line="276" w:before="120" w:after="120"/>
        <w:ind w:left="792" w:hanging="574"/>
        <w:contextualSpacing/>
        <w:jc w:val="both"/>
        <w:rPr>
          <w:rFonts w:cs="Arial"/>
          <w:bCs/>
          <w:sz w:val="24"/>
        </w:rPr>
      </w:pPr>
      <w:r>
        <w:rPr>
          <w:rFonts w:cs="Arial"/>
          <w:bCs/>
          <w:sz w:val="24"/>
        </w:rPr>
        <w:t xml:space="preserve">Havendo </w:t>
      </w:r>
      <w:r>
        <w:rPr>
          <w:rFonts w:cs="Arial"/>
          <w:iCs/>
          <w:sz w:val="24"/>
          <w:lang w:eastAsia="en-US"/>
        </w:rPr>
        <w:t>necessidade</w:t>
      </w:r>
      <w:r>
        <w:rPr>
          <w:rFonts w:cs="Arial"/>
          <w:bCs/>
          <w:sz w:val="24"/>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rFonts w:cs="Arial"/>
          <w:color w:val="000000"/>
          <w:sz w:val="24"/>
        </w:rPr>
      </w:pPr>
      <w:r>
        <w:rPr>
          <w:rFonts w:cs="Arial"/>
          <w:color w:val="000000"/>
          <w:sz w:val="24"/>
        </w:rPr>
        <w:t xml:space="preserve">Será inabilitado o fornecedor que não comprovar sua habilitação, seja por não apresentar </w:t>
      </w:r>
      <w:r>
        <w:rPr>
          <w:rFonts w:cs="Arial"/>
          <w:iCs/>
          <w:sz w:val="24"/>
          <w:lang w:eastAsia="en-US"/>
        </w:rPr>
        <w:t>quaisquer</w:t>
      </w:r>
      <w:r>
        <w:rPr>
          <w:rFonts w:cs="Arial"/>
          <w:color w:val="000000"/>
          <w:sz w:val="24"/>
        </w:rPr>
        <w:t xml:space="preserve"> dos </w:t>
      </w:r>
      <w:r>
        <w:rPr>
          <w:rFonts w:cs="Arial"/>
          <w:bCs/>
          <w:sz w:val="24"/>
        </w:rPr>
        <w:t>documentos</w:t>
      </w:r>
      <w:r>
        <w:rPr>
          <w:rFonts w:cs="Arial"/>
          <w:color w:val="000000"/>
          <w:sz w:val="24"/>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cs="Arial"/>
          <w:color w:val="000000"/>
          <w:sz w:val="24"/>
        </w:rPr>
      </w:pPr>
      <w:r>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rFonts w:cs="Arial"/>
          <w:iCs/>
          <w:sz w:val="24"/>
          <w:lang w:eastAsia="en-US"/>
        </w:rPr>
      </w:pPr>
      <w:r>
        <w:rPr>
          <w:rFonts w:cs="Arial"/>
          <w:iCs/>
          <w:sz w:val="24"/>
          <w:lang w:eastAsia="en-US"/>
        </w:rPr>
        <w:t>Constatado o atendimento às exigências de habilitação, o fornecedor será habilitado</w:t>
      </w:r>
    </w:p>
    <w:p>
      <w:pPr>
        <w:pStyle w:val="Normal"/>
        <w:spacing w:lineRule="auto" w:line="276" w:before="120" w:after="120"/>
        <w:ind w:left="218" w:hanging="0"/>
        <w:jc w:val="both"/>
        <w:rPr>
          <w:rFonts w:cs="Arial"/>
          <w:iCs/>
          <w:sz w:val="24"/>
          <w:lang w:eastAsia="en-US"/>
        </w:rPr>
      </w:pPr>
      <w:r>
        <w:rPr>
          <w:rFonts w:cs="Arial"/>
          <w:iCs/>
          <w:sz w:val="24"/>
          <w:lang w:eastAsia="en-US"/>
        </w:rPr>
      </w:r>
    </w:p>
    <w:p>
      <w:pPr>
        <w:pStyle w:val="Ttulo1"/>
        <w:numPr>
          <w:ilvl w:val="0"/>
          <w:numId w:val="1"/>
        </w:numPr>
        <w:rPr>
          <w:rFonts w:ascii="Arial" w:hAnsi="Arial" w:cs="Arial"/>
          <w:color w:val="auto"/>
          <w:sz w:val="24"/>
          <w:szCs w:val="24"/>
        </w:rPr>
      </w:pPr>
      <w:bookmarkStart w:id="7" w:name="_Toc104906824"/>
      <w:r>
        <w:rPr>
          <w:rFonts w:cs="Arial" w:ascii="Arial" w:hAnsi="Arial"/>
          <w:color w:val="auto"/>
          <w:sz w:val="24"/>
          <w:szCs w:val="24"/>
        </w:rPr>
        <w:t>CONTRATAÇÃO</w:t>
      </w:r>
      <w:bookmarkEnd w:id="7"/>
    </w:p>
    <w:p>
      <w:pPr>
        <w:pStyle w:val="Normal"/>
        <w:numPr>
          <w:ilvl w:val="1"/>
          <w:numId w:val="1"/>
        </w:numPr>
        <w:spacing w:lineRule="auto" w:line="276" w:before="120" w:after="120"/>
        <w:ind w:left="857" w:hanging="432"/>
        <w:jc w:val="both"/>
        <w:rPr>
          <w:rFonts w:eastAsia="Arial" w:cs="Arial"/>
          <w:color w:val="000000"/>
          <w:sz w:val="24"/>
        </w:rPr>
      </w:pPr>
      <w:commentRangeStart w:id="10"/>
      <w:r>
        <w:rPr>
          <w:rFonts w:eastAsia="Arial" w:cs="Arial"/>
          <w:color w:val="000000"/>
          <w:sz w:val="24"/>
        </w:rPr>
        <w:t>Após a homologação e adjudicação, caso se conclua pela contratação, será firmado Termo de Contrato ou emitido instrumento equivalente.</w:t>
      </w:r>
      <w:commentRangeEnd w:id="10"/>
      <w:r>
        <w:commentReference w:id="10"/>
      </w:r>
      <w:r>
        <w:rPr>
          <w:rFonts w:eastAsia="Arial" w:cs="Arial"/>
          <w:color w:val="000000"/>
          <w:sz w:val="24"/>
        </w:rPr>
      </w:r>
    </w:p>
    <w:p>
      <w:pPr>
        <w:pStyle w:val="Normal"/>
        <w:numPr>
          <w:ilvl w:val="1"/>
          <w:numId w:val="1"/>
        </w:numPr>
        <w:spacing w:lineRule="auto" w:line="276" w:before="120" w:after="120"/>
        <w:ind w:left="425" w:hanging="0"/>
        <w:jc w:val="both"/>
        <w:rPr>
          <w:rFonts w:eastAsia="Arial" w:cs="Arial"/>
          <w:color w:val="000000"/>
          <w:sz w:val="24"/>
        </w:rPr>
      </w:pPr>
      <w:r>
        <w:rPr>
          <w:rFonts w:eastAsia="Arial" w:cs="Arial"/>
          <w:color w:val="000000"/>
          <w:sz w:val="24"/>
        </w:rPr>
        <w:t xml:space="preserve">O adjudicatário terá o prazo de </w:t>
      </w:r>
      <w:r>
        <w:rPr>
          <w:rFonts w:eastAsia="Arial" w:cs="Arial"/>
          <w:sz w:val="24"/>
        </w:rPr>
        <w:t>05 (cinco) dias úteis</w:t>
      </w:r>
      <w:r>
        <w:rPr>
          <w:rFonts w:eastAsia="Arial" w:cs="Arial"/>
          <w:color w:val="000000"/>
          <w:sz w:val="24"/>
        </w:rPr>
        <w:t>, contados a partir da data de sua convocação, para</w:t>
      </w:r>
      <w:r>
        <w:rPr>
          <w:rFonts w:eastAsia="Arial" w:cs="Arial"/>
          <w:sz w:val="24"/>
        </w:rPr>
        <w:t>aceitar instrumento equivalente, conforme o caso (Nota de Empenho/Carta Contrato/Autorização),</w:t>
      </w:r>
      <w:r>
        <w:rPr>
          <w:rFonts w:eastAsia="Arial" w:cs="Arial"/>
          <w:color w:val="000000"/>
          <w:sz w:val="24"/>
        </w:rPr>
        <w:t xml:space="preserve">sob pena de decair do direito à contratação, sem prejuízo das sanções previstas neste Aviso de Contratação Direta. </w:t>
      </w:r>
    </w:p>
    <w:p>
      <w:pPr>
        <w:pStyle w:val="Normal"/>
        <w:spacing w:lineRule="auto" w:line="276" w:before="120" w:after="120"/>
        <w:jc w:val="both"/>
        <w:rPr>
          <w:rFonts w:eastAsia="Arial" w:cs="Arial"/>
          <w:i/>
          <w:i/>
          <w:color w:val="FF0000"/>
          <w:sz w:val="24"/>
        </w:rPr>
      </w:pPr>
      <w:r>
        <w:rPr>
          <w:rFonts w:eastAsia="Arial" w:cs="Arial"/>
          <w:i/>
          <w:color w:val="FF0000"/>
          <w:sz w:val="24"/>
        </w:rPr>
      </w:r>
    </w:p>
    <w:p>
      <w:pPr>
        <w:pStyle w:val="Normal"/>
        <w:numPr>
          <w:ilvl w:val="2"/>
          <w:numId w:val="1"/>
        </w:numPr>
        <w:spacing w:lineRule="auto" w:line="276" w:before="120" w:after="120"/>
        <w:jc w:val="both"/>
        <w:rPr>
          <w:rFonts w:eastAsia="Arial" w:cs="Arial"/>
          <w:color w:val="000000"/>
          <w:sz w:val="24"/>
        </w:rPr>
      </w:pPr>
      <w:r>
        <w:rPr>
          <w:rFonts w:eastAsia="Arial" w:cs="Arial"/>
          <w:color w:val="000000"/>
          <w:sz w:val="24"/>
        </w:rPr>
        <w:t xml:space="preserve">O prazo previsto para assinatura do contrato ou aceitação da nota de empenho ou instrumento equivalente poderá ser prorrogado </w:t>
      </w:r>
      <w:r>
        <w:rPr>
          <w:rFonts w:cs="Arial"/>
          <w:bCs/>
          <w:sz w:val="24"/>
        </w:rPr>
        <w:t>1 (uma) vez</w:t>
      </w:r>
      <w:r>
        <w:rPr>
          <w:rFonts w:eastAsia="Arial" w:cs="Arial"/>
          <w:sz w:val="24"/>
        </w:rPr>
        <w:t xml:space="preserve">, </w:t>
      </w:r>
      <w:r>
        <w:rPr>
          <w:rFonts w:eastAsia="Arial" w:cs="Arial"/>
          <w:color w:val="000000"/>
          <w:sz w:val="24"/>
        </w:rPr>
        <w:t>por igual período, por solicitação justificada do adjudicatário e aceita pela Administração.</w:t>
      </w:r>
    </w:p>
    <w:p>
      <w:pPr>
        <w:pStyle w:val="Normal"/>
        <w:numPr>
          <w:ilvl w:val="1"/>
          <w:numId w:val="1"/>
        </w:numPr>
        <w:spacing w:lineRule="auto" w:line="276" w:before="120" w:after="120"/>
        <w:ind w:left="425" w:hanging="0"/>
        <w:jc w:val="both"/>
        <w:rPr/>
      </w:pPr>
      <w:commentRangeStart w:id="11"/>
      <w:commentRangeStart w:id="12"/>
      <w:r>
        <w:rPr>
          <w:rFonts w:eastAsia="Arial" w:cs="Arial"/>
          <w:i/>
          <w:sz w:val="24"/>
        </w:rPr>
        <w:t>O Aceite da Nota de Empenho ou do instrumento equivalente, emitida à empresa adjudicada, implica no reconhecimento de que:</w:t>
      </w:r>
    </w:p>
    <w:p>
      <w:pPr>
        <w:pStyle w:val="Normal"/>
        <w:numPr>
          <w:ilvl w:val="2"/>
          <w:numId w:val="1"/>
        </w:numPr>
        <w:spacing w:lineRule="auto" w:line="276" w:before="120" w:after="120"/>
        <w:jc w:val="both"/>
        <w:rPr/>
      </w:pPr>
      <w:r>
        <w:rPr>
          <w:rFonts w:eastAsia="Arial" w:cs="Arial"/>
          <w:i/>
          <w:sz w:val="24"/>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pPr>
      <w:r>
        <w:rPr>
          <w:rFonts w:eastAsia="Arial" w:cs="Arial"/>
          <w:i/>
          <w:sz w:val="24"/>
        </w:rPr>
        <w:t>a contratada se vincula à sua proposta e às previsões contidas no Aviso de Contratação Direta e seus anexos;</w:t>
      </w:r>
    </w:p>
    <w:p>
      <w:pPr>
        <w:pStyle w:val="Normal"/>
        <w:numPr>
          <w:ilvl w:val="2"/>
          <w:numId w:val="1"/>
        </w:numPr>
        <w:spacing w:lineRule="auto" w:line="276" w:before="120" w:after="120"/>
        <w:jc w:val="both"/>
        <w:rPr/>
      </w:pPr>
      <w:r>
        <w:rPr>
          <w:rFonts w:eastAsia="Arial" w:cs="Arial"/>
          <w:i/>
          <w:sz w:val="24"/>
        </w:rPr>
        <w:t>a contratada reconhece que as hipóteses de rescisão são aquelas previstas nos artigos 137 e 138 da Lei nº 14.133/21 e reconhece os direitos da Administração previstos nos artigos 137 a 139 da mesma Lei.</w:t>
      </w:r>
      <w:r>
        <w:rPr>
          <w:rFonts w:eastAsia="Arial" w:cs="Arial"/>
          <w:i/>
          <w:sz w:val="24"/>
        </w:rPr>
      </w:r>
      <w:commentRangeEnd w:id="12"/>
      <w:r>
        <w:commentReference w:id="12"/>
      </w:r>
      <w:commentRangeEnd w:id="11"/>
      <w:r>
        <w:commentReference w:id="11"/>
      </w:r>
      <w:r>
        <w:rPr>
          <w:rFonts w:eastAsia="Arial" w:cs="Arial"/>
          <w:i/>
          <w:sz w:val="24"/>
        </w:rPr>
      </w:r>
    </w:p>
    <w:p>
      <w:pPr>
        <w:pStyle w:val="Normal"/>
        <w:numPr>
          <w:ilvl w:val="1"/>
          <w:numId w:val="1"/>
        </w:numPr>
        <w:spacing w:lineRule="auto" w:line="276" w:before="120" w:after="120"/>
        <w:ind w:left="425" w:hanging="0"/>
        <w:jc w:val="both"/>
        <w:rPr>
          <w:rFonts w:eastAsia="Arial" w:cs="Arial"/>
          <w:color w:val="000000"/>
          <w:sz w:val="24"/>
        </w:rPr>
      </w:pPr>
      <w:r>
        <w:rPr>
          <w:rFonts w:eastAsia="Arial" w:cs="Arial"/>
          <w:color w:val="000000"/>
          <w:sz w:val="24"/>
        </w:rPr>
        <w:t xml:space="preserve">O prazo de vigência da contratação é de 15 (quinze) diasprorrogável conforme previsão nos anexos a este Aviso de Contratação Direta. </w:t>
      </w:r>
    </w:p>
    <w:p>
      <w:pPr>
        <w:pStyle w:val="Normal"/>
        <w:numPr>
          <w:ilvl w:val="1"/>
          <w:numId w:val="1"/>
        </w:numPr>
        <w:spacing w:lineRule="auto" w:line="276" w:before="120" w:after="120"/>
        <w:ind w:left="425" w:hanging="0"/>
        <w:jc w:val="both"/>
        <w:rPr>
          <w:rFonts w:eastAsia="Arial" w:cs="Arial"/>
          <w:color w:val="000000"/>
          <w:sz w:val="24"/>
        </w:rPr>
      </w:pPr>
      <w:commentRangeStart w:id="13"/>
      <w:r>
        <w:rPr>
          <w:rFonts w:cs="Arial"/>
          <w:color w:val="000000"/>
          <w:sz w:val="24"/>
        </w:rPr>
        <w:t>Na assinatura do contrato ou do instrumento equivalente será exigida a comprovação das condições de habilitação e contratação consignadas neste aviso, que deverão ser mantidas pelo fornecedor durante a vigência do contrato.</w:t>
      </w:r>
      <w:commentRangeEnd w:id="13"/>
      <w:r>
        <w:commentReference w:id="13"/>
      </w:r>
      <w:r>
        <w:rPr>
          <w:rFonts w:cs="Arial"/>
          <w:color w:val="000000"/>
          <w:sz w:val="24"/>
        </w:rPr>
      </w:r>
    </w:p>
    <w:p>
      <w:pPr>
        <w:pStyle w:val="Normal"/>
        <w:spacing w:lineRule="auto" w:line="276" w:before="120" w:after="120"/>
        <w:ind w:left="425" w:hanging="0"/>
        <w:jc w:val="both"/>
        <w:rPr>
          <w:rFonts w:eastAsia="Arial" w:cs="Arial"/>
          <w:color w:val="000000"/>
          <w:sz w:val="24"/>
        </w:rPr>
      </w:pPr>
      <w:r>
        <w:rPr>
          <w:rFonts w:eastAsia="Arial" w:cs="Arial"/>
          <w:color w:val="000000"/>
          <w:sz w:val="24"/>
        </w:rPr>
      </w:r>
    </w:p>
    <w:p>
      <w:pPr>
        <w:pStyle w:val="Ttulo1"/>
        <w:numPr>
          <w:ilvl w:val="0"/>
          <w:numId w:val="1"/>
        </w:numPr>
        <w:rPr>
          <w:rFonts w:ascii="Arial" w:hAnsi="Arial" w:cs="Arial"/>
          <w:color w:val="auto"/>
          <w:sz w:val="24"/>
          <w:szCs w:val="24"/>
        </w:rPr>
      </w:pPr>
      <w:bookmarkStart w:id="8" w:name="_Toc104906825"/>
      <w:r>
        <w:rPr>
          <w:rFonts w:cs="Arial" w:ascii="Arial" w:hAnsi="Arial"/>
          <w:color w:val="auto"/>
          <w:sz w:val="24"/>
          <w:szCs w:val="24"/>
        </w:rPr>
        <w:t>SANÇÕES</w:t>
      </w:r>
      <w:bookmarkEnd w:id="8"/>
    </w:p>
    <w:p>
      <w:pPr>
        <w:pStyle w:val="Normal"/>
        <w:numPr>
          <w:ilvl w:val="1"/>
          <w:numId w:val="1"/>
        </w:numPr>
        <w:spacing w:lineRule="auto" w:line="276" w:before="120" w:after="120"/>
        <w:ind w:left="857" w:hanging="432"/>
        <w:jc w:val="both"/>
        <w:rPr>
          <w:rFonts w:cs="Arial"/>
          <w:b/>
          <w:b/>
          <w:sz w:val="24"/>
        </w:rPr>
      </w:pPr>
      <w:r>
        <w:rPr>
          <w:rFonts w:cs="Arial"/>
          <w:sz w:val="24"/>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cs="Arial"/>
          <w:sz w:val="24"/>
        </w:rPr>
      </w:pPr>
      <w:r>
        <w:rPr>
          <w:rFonts w:cs="Arial"/>
          <w:color w:val="000000"/>
          <w:sz w:val="24"/>
        </w:rPr>
        <w:t>dar causa à inexecução parcial do contrato</w:t>
      </w:r>
      <w:r>
        <w:rPr>
          <w:rFonts w:cs="Arial"/>
          <w:sz w:val="24"/>
        </w:rPr>
        <w:t>;</w:t>
      </w:r>
    </w:p>
    <w:p>
      <w:pPr>
        <w:pStyle w:val="Normal"/>
        <w:numPr>
          <w:ilvl w:val="2"/>
          <w:numId w:val="1"/>
        </w:numPr>
        <w:spacing w:lineRule="auto" w:line="276" w:before="120" w:after="120"/>
        <w:jc w:val="both"/>
        <w:rPr>
          <w:rFonts w:cs="Arial"/>
          <w:sz w:val="24"/>
        </w:rPr>
      </w:pPr>
      <w:r>
        <w:rPr>
          <w:rFonts w:cs="Arial"/>
          <w:color w:val="000000"/>
          <w:sz w:val="24"/>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sz w:val="24"/>
        </w:rPr>
      </w:pPr>
      <w:r>
        <w:rPr>
          <w:rFonts w:cs="Arial"/>
          <w:color w:val="000000"/>
          <w:sz w:val="24"/>
        </w:rPr>
        <w:t>dar causa à inexecução total do contrato;</w:t>
      </w:r>
    </w:p>
    <w:p>
      <w:pPr>
        <w:pStyle w:val="Normal"/>
        <w:numPr>
          <w:ilvl w:val="2"/>
          <w:numId w:val="1"/>
        </w:numPr>
        <w:spacing w:lineRule="auto" w:line="276" w:before="120" w:after="120"/>
        <w:jc w:val="both"/>
        <w:rPr>
          <w:rFonts w:cs="Arial"/>
          <w:sz w:val="24"/>
        </w:rPr>
      </w:pPr>
      <w:r>
        <w:rPr>
          <w:rFonts w:cs="Arial"/>
          <w:color w:val="000000"/>
          <w:sz w:val="24"/>
        </w:rPr>
        <w:t>deixar de entregar a documentação exigida para o certame;</w:t>
      </w:r>
    </w:p>
    <w:p>
      <w:pPr>
        <w:pStyle w:val="Normal"/>
        <w:numPr>
          <w:ilvl w:val="2"/>
          <w:numId w:val="1"/>
        </w:numPr>
        <w:spacing w:lineRule="auto" w:line="276" w:before="120" w:after="120"/>
        <w:jc w:val="both"/>
        <w:rPr>
          <w:rFonts w:cs="Arial"/>
          <w:sz w:val="24"/>
        </w:rPr>
      </w:pPr>
      <w:r>
        <w:rPr>
          <w:rFonts w:cs="Arial"/>
          <w:color w:val="000000"/>
          <w:sz w:val="24"/>
        </w:rPr>
        <w:t>não manter a proposta, salvo em decorrência de fato superveniente devidamente justificado;</w:t>
      </w:r>
    </w:p>
    <w:p>
      <w:pPr>
        <w:pStyle w:val="Normal"/>
        <w:numPr>
          <w:ilvl w:val="2"/>
          <w:numId w:val="1"/>
        </w:numPr>
        <w:spacing w:lineRule="auto" w:line="276" w:before="120" w:after="120"/>
        <w:jc w:val="both"/>
        <w:rPr>
          <w:rFonts w:cs="Arial"/>
          <w:sz w:val="24"/>
        </w:rPr>
      </w:pPr>
      <w:r>
        <w:rPr>
          <w:rFonts w:cs="Arial"/>
          <w:color w:val="000000"/>
          <w:sz w:val="24"/>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cs="Arial"/>
          <w:sz w:val="24"/>
        </w:rPr>
      </w:pPr>
      <w:r>
        <w:rPr>
          <w:rFonts w:cs="Arial"/>
          <w:color w:val="000000"/>
          <w:sz w:val="24"/>
        </w:rPr>
        <w:t> </w:t>
      </w:r>
      <w:r>
        <w:rPr>
          <w:rFonts w:cs="Arial"/>
          <w:color w:val="000000"/>
          <w:sz w:val="24"/>
        </w:rPr>
        <w:t>ensejar o retardamento da execução ou da entrega do objeto da licitação sem motivo justificado;</w:t>
      </w:r>
    </w:p>
    <w:p>
      <w:pPr>
        <w:pStyle w:val="Normal"/>
        <w:numPr>
          <w:ilvl w:val="2"/>
          <w:numId w:val="1"/>
        </w:numPr>
        <w:spacing w:lineRule="auto" w:line="276" w:before="120" w:after="120"/>
        <w:jc w:val="both"/>
        <w:rPr>
          <w:rFonts w:cs="Arial"/>
          <w:sz w:val="24"/>
        </w:rPr>
      </w:pPr>
      <w:r>
        <w:rPr>
          <w:rFonts w:cs="Arial"/>
          <w:color w:val="000000"/>
          <w:sz w:val="24"/>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sz w:val="24"/>
        </w:rPr>
      </w:pPr>
      <w:r>
        <w:rPr>
          <w:rFonts w:cs="Arial"/>
          <w:color w:val="000000"/>
          <w:sz w:val="24"/>
        </w:rPr>
        <w:t>fraudar a dispensa eletrônica ou praticar ato fraudulento na execução do contrato;</w:t>
      </w:r>
    </w:p>
    <w:p>
      <w:pPr>
        <w:pStyle w:val="Normal"/>
        <w:numPr>
          <w:ilvl w:val="2"/>
          <w:numId w:val="1"/>
        </w:numPr>
        <w:spacing w:lineRule="auto" w:line="276" w:before="120" w:after="120"/>
        <w:jc w:val="both"/>
        <w:rPr>
          <w:rFonts w:cs="Arial"/>
          <w:sz w:val="24"/>
        </w:rPr>
      </w:pPr>
      <w:r>
        <w:rPr>
          <w:rFonts w:cs="Arial"/>
          <w:color w:val="000000"/>
          <w:sz w:val="24"/>
        </w:rPr>
        <w:t> </w:t>
      </w:r>
      <w:r>
        <w:rPr>
          <w:rFonts w:cs="Arial"/>
          <w:color w:val="000000"/>
          <w:sz w:val="24"/>
        </w:rPr>
        <w:t>comportar-se de modo inidôneo ou cometer fraude de qualquer natureza;</w:t>
      </w:r>
    </w:p>
    <w:p>
      <w:pPr>
        <w:pStyle w:val="ListParagraph"/>
        <w:numPr>
          <w:ilvl w:val="3"/>
          <w:numId w:val="1"/>
        </w:numPr>
        <w:spacing w:lineRule="auto" w:line="276" w:before="120" w:after="120"/>
        <w:contextualSpacing/>
        <w:jc w:val="both"/>
        <w:rPr>
          <w:rFonts w:cs="Arial"/>
          <w:sz w:val="24"/>
        </w:rPr>
      </w:pPr>
      <w:r>
        <w:rPr>
          <w:rFonts w:cs="Arial"/>
          <w:sz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sz w:val="24"/>
        </w:rPr>
      </w:pPr>
      <w:r>
        <w:rPr>
          <w:rFonts w:cs="Arial"/>
          <w:color w:val="000000"/>
          <w:sz w:val="24"/>
        </w:rPr>
        <w:t> </w:t>
      </w:r>
      <w:r>
        <w:rPr>
          <w:rFonts w:cs="Arial"/>
          <w:color w:val="000000"/>
          <w:sz w:val="24"/>
        </w:rPr>
        <w:t>praticar atos ilícitos com vistas a frustrar os objetivos deste certame.</w:t>
      </w:r>
    </w:p>
    <w:p>
      <w:pPr>
        <w:pStyle w:val="Normal"/>
        <w:numPr>
          <w:ilvl w:val="2"/>
          <w:numId w:val="1"/>
        </w:numPr>
        <w:spacing w:lineRule="auto" w:line="276" w:before="120" w:after="120"/>
        <w:jc w:val="both"/>
        <w:rPr>
          <w:rFonts w:cs="Arial"/>
          <w:color w:val="000000"/>
          <w:sz w:val="24"/>
        </w:rPr>
      </w:pPr>
      <w:r>
        <w:rPr>
          <w:rFonts w:cs="Arial"/>
          <w:color w:val="000000"/>
          <w:sz w:val="24"/>
        </w:rPr>
        <w:t>praticar ato lesivo previsto no </w:t>
      </w:r>
      <w:r>
        <w:fldChar w:fldCharType="begin"/>
      </w:r>
      <w:r>
        <w:rPr>
          <w:sz w:val="24"/>
          <w:rFonts w:cs="Arial"/>
          <w:color w:val="000000"/>
        </w:rPr>
        <w:instrText> HYPERLINK "http://www.planalto.gov.br/ccivil_03/_Ato2011-2014/2013/Lei/L12846.htm" \l "art5"</w:instrText>
      </w:r>
      <w:r>
        <w:rPr>
          <w:sz w:val="24"/>
          <w:rFonts w:cs="Arial"/>
          <w:color w:val="000000"/>
        </w:rPr>
        <w:fldChar w:fldCharType="separate"/>
      </w:r>
      <w:r>
        <w:rPr>
          <w:rFonts w:cs="Arial"/>
          <w:color w:val="000000"/>
          <w:sz w:val="24"/>
        </w:rPr>
        <w:t>art. 5º da Lei nº 12.846, de 1º de agosto de 2013.</w:t>
      </w:r>
      <w:r>
        <w:rPr>
          <w:sz w:val="24"/>
          <w:rFonts w:cs="Arial"/>
          <w:color w:val="000000"/>
        </w:rPr>
        <w:fldChar w:fldCharType="end"/>
      </w:r>
    </w:p>
    <w:p>
      <w:pPr>
        <w:pStyle w:val="Normal"/>
        <w:numPr>
          <w:ilvl w:val="1"/>
          <w:numId w:val="1"/>
        </w:numPr>
        <w:spacing w:lineRule="auto" w:line="276" w:before="120" w:after="120"/>
        <w:ind w:left="425" w:hanging="0"/>
        <w:jc w:val="both"/>
        <w:rPr>
          <w:rFonts w:cs="Arial"/>
          <w:b/>
          <w:b/>
          <w:sz w:val="24"/>
        </w:rPr>
      </w:pPr>
      <w:r>
        <w:rPr>
          <w:rFonts w:cs="Arial"/>
          <w:sz w:val="24"/>
        </w:rPr>
        <w:t>O fornecedor que cometer qualquer das infrações discriminadas nos subitens anteriores ficará sujeito, sem prejuízo da responsabilidade civil e criminal, às seguintes sanções:</w:t>
      </w:r>
    </w:p>
    <w:p>
      <w:pPr>
        <w:pStyle w:val="Normal"/>
        <w:numPr>
          <w:ilvl w:val="2"/>
          <w:numId w:val="5"/>
        </w:numPr>
        <w:spacing w:lineRule="auto" w:line="276" w:before="120" w:after="120"/>
        <w:jc w:val="both"/>
        <w:rPr>
          <w:rFonts w:cs="Arial"/>
          <w:sz w:val="24"/>
        </w:rPr>
      </w:pPr>
      <w:r>
        <w:rPr>
          <w:rFonts w:cs="Arial"/>
          <w:sz w:val="24"/>
        </w:rPr>
        <w:t>Advertência pela falta do subitem 8.1.1 deste Aviso de Contratação Direta, quando não se justificar a imposição de penalidade mais grave;</w:t>
      </w:r>
    </w:p>
    <w:p>
      <w:pPr>
        <w:pStyle w:val="Normal"/>
        <w:numPr>
          <w:ilvl w:val="2"/>
          <w:numId w:val="5"/>
        </w:numPr>
        <w:spacing w:lineRule="auto" w:line="276" w:before="120" w:after="120"/>
        <w:jc w:val="both"/>
        <w:rPr>
          <w:rFonts w:cs="Arial"/>
          <w:sz w:val="24"/>
        </w:rPr>
      </w:pPr>
      <w:commentRangeStart w:id="14"/>
      <w:r>
        <w:rPr>
          <w:rFonts w:cs="Arial"/>
          <w:sz w:val="24"/>
        </w:rPr>
        <w:t>Multa de 5% (cinco por cento)sobre o valor estimado do(s) item(s) prejudicado(s) pela conduta do fornecedor, por qualquer das infrações dos subitens 8.1.1 a 8.1.12;</w:t>
      </w:r>
      <w:commentRangeEnd w:id="14"/>
      <w:r>
        <w:commentReference w:id="14"/>
      </w:r>
      <w:r>
        <w:rPr>
          <w:rFonts w:cs="Arial"/>
          <w:sz w:val="24"/>
        </w:rPr>
      </w:r>
    </w:p>
    <w:p>
      <w:pPr>
        <w:pStyle w:val="Normal"/>
        <w:numPr>
          <w:ilvl w:val="2"/>
          <w:numId w:val="5"/>
        </w:numPr>
        <w:spacing w:lineRule="auto" w:line="276" w:before="120" w:after="120"/>
        <w:jc w:val="both"/>
        <w:rPr>
          <w:rFonts w:cs="Arial"/>
          <w:sz w:val="24"/>
        </w:rPr>
      </w:pPr>
      <w:r>
        <w:rPr>
          <w:rFonts w:cs="Arial"/>
          <w:color w:val="000000"/>
          <w:sz w:val="24"/>
        </w:rPr>
        <w:t>Impedimento de licitar e contratarno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sz w:val="24"/>
        </w:rPr>
        <w:t>;</w:t>
      </w:r>
    </w:p>
    <w:p>
      <w:pPr>
        <w:pStyle w:val="Normal"/>
        <w:numPr>
          <w:ilvl w:val="2"/>
          <w:numId w:val="5"/>
        </w:numPr>
        <w:spacing w:lineRule="auto" w:line="276" w:before="120" w:after="120"/>
        <w:jc w:val="both"/>
        <w:rPr>
          <w:rFonts w:cs="Arial"/>
          <w:sz w:val="24"/>
        </w:rPr>
      </w:pPr>
      <w:r>
        <w:rPr>
          <w:rFonts w:cs="Arial"/>
          <w:color w:val="000000"/>
          <w:sz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sz w:val="24"/>
        </w:rPr>
        <w:t>;</w:t>
      </w:r>
    </w:p>
    <w:p>
      <w:pPr>
        <w:pStyle w:val="Normal"/>
        <w:numPr>
          <w:ilvl w:val="1"/>
          <w:numId w:val="1"/>
        </w:numPr>
        <w:spacing w:lineRule="auto" w:line="276" w:before="120" w:after="120"/>
        <w:jc w:val="both"/>
        <w:rPr>
          <w:rFonts w:cs="Arial"/>
          <w:bCs/>
          <w:sz w:val="24"/>
        </w:rPr>
      </w:pPr>
      <w:r>
        <w:rPr>
          <w:rFonts w:cs="Arial"/>
          <w:bCs/>
          <w:sz w:val="24"/>
        </w:rPr>
        <w:t>Na aplicação das sanções serão considerados:</w:t>
      </w:r>
    </w:p>
    <w:p>
      <w:pPr>
        <w:pStyle w:val="Normal"/>
        <w:numPr>
          <w:ilvl w:val="2"/>
          <w:numId w:val="1"/>
        </w:numPr>
        <w:spacing w:lineRule="auto" w:line="276" w:before="120" w:after="120"/>
        <w:jc w:val="both"/>
        <w:rPr>
          <w:rFonts w:cs="Arial"/>
          <w:bCs/>
          <w:sz w:val="24"/>
        </w:rPr>
      </w:pPr>
      <w:r>
        <w:rPr>
          <w:rFonts w:cs="Arial"/>
          <w:bCs/>
          <w:sz w:val="24"/>
        </w:rPr>
        <w:t>a natureza e a gravidade da infração cometida;</w:t>
      </w:r>
    </w:p>
    <w:p>
      <w:pPr>
        <w:pStyle w:val="Normal"/>
        <w:numPr>
          <w:ilvl w:val="2"/>
          <w:numId w:val="1"/>
        </w:numPr>
        <w:spacing w:lineRule="auto" w:line="276" w:before="120" w:after="120"/>
        <w:jc w:val="both"/>
        <w:rPr>
          <w:rFonts w:cs="Arial"/>
          <w:bCs/>
          <w:sz w:val="24"/>
        </w:rPr>
      </w:pPr>
      <w:r>
        <w:rPr>
          <w:rFonts w:cs="Arial"/>
          <w:bCs/>
          <w:sz w:val="24"/>
        </w:rPr>
        <w:t>as peculiaridades do caso concreto;</w:t>
      </w:r>
    </w:p>
    <w:p>
      <w:pPr>
        <w:pStyle w:val="Normal"/>
        <w:numPr>
          <w:ilvl w:val="2"/>
          <w:numId w:val="1"/>
        </w:numPr>
        <w:spacing w:lineRule="auto" w:line="276" w:before="120" w:after="120"/>
        <w:jc w:val="both"/>
        <w:rPr>
          <w:rFonts w:cs="Arial"/>
          <w:bCs/>
          <w:sz w:val="24"/>
        </w:rPr>
      </w:pPr>
      <w:r>
        <w:rPr>
          <w:rFonts w:cs="Arial"/>
          <w:bCs/>
          <w:sz w:val="24"/>
        </w:rPr>
        <w:t>as circunstâncias agravantes ou atenuantes;</w:t>
      </w:r>
    </w:p>
    <w:p>
      <w:pPr>
        <w:pStyle w:val="Normal"/>
        <w:numPr>
          <w:ilvl w:val="2"/>
          <w:numId w:val="1"/>
        </w:numPr>
        <w:spacing w:lineRule="auto" w:line="276" w:before="120" w:after="120"/>
        <w:jc w:val="both"/>
        <w:rPr>
          <w:rFonts w:cs="Arial"/>
          <w:bCs/>
          <w:sz w:val="24"/>
        </w:rPr>
      </w:pPr>
      <w:r>
        <w:rPr>
          <w:rFonts w:cs="Arial"/>
          <w:bCs/>
          <w:sz w:val="24"/>
        </w:rPr>
        <w:t>os danos que dela provierem para a Administração Pública;</w:t>
      </w:r>
    </w:p>
    <w:p>
      <w:pPr>
        <w:pStyle w:val="Normal"/>
        <w:numPr>
          <w:ilvl w:val="2"/>
          <w:numId w:val="1"/>
        </w:numPr>
        <w:spacing w:lineRule="auto" w:line="276" w:before="120" w:after="120"/>
        <w:jc w:val="both"/>
        <w:rPr>
          <w:rFonts w:cs="Arial"/>
          <w:bCs/>
          <w:sz w:val="24"/>
        </w:rPr>
      </w:pPr>
      <w:r>
        <w:rPr>
          <w:rFonts w:cs="Arial"/>
          <w:bCs/>
          <w:sz w:val="24"/>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cs="Arial"/>
          <w:sz w:val="24"/>
        </w:rPr>
      </w:pPr>
      <w:bookmarkStart w:id="9" w:name="art156§6"/>
      <w:bookmarkStart w:id="10" w:name="art156§7"/>
      <w:bookmarkStart w:id="11" w:name="art156§8"/>
      <w:bookmarkEnd w:id="9"/>
      <w:bookmarkEnd w:id="10"/>
      <w:bookmarkEnd w:id="11"/>
      <w:r>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cs="Arial"/>
          <w:sz w:val="24"/>
        </w:rPr>
      </w:pPr>
      <w:bookmarkStart w:id="12" w:name="art156§9"/>
      <w:bookmarkEnd w:id="12"/>
      <w:r>
        <w:rPr>
          <w:rFonts w:cs="Arial"/>
          <w:sz w:val="24"/>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cs="Arial"/>
          <w:sz w:val="24"/>
        </w:rPr>
      </w:pPr>
      <w:r>
        <w:rPr>
          <w:rFonts w:cs="Arial"/>
          <w:sz w:val="24"/>
        </w:rPr>
        <w:t>A penalidade de multa pode ser aplicada cumulativamente com as demais sanções.</w:t>
      </w:r>
    </w:p>
    <w:p>
      <w:pPr>
        <w:pStyle w:val="Normal"/>
        <w:numPr>
          <w:ilvl w:val="1"/>
          <w:numId w:val="1"/>
        </w:numPr>
        <w:spacing w:lineRule="auto" w:line="276" w:before="120" w:after="120"/>
        <w:ind w:left="425" w:hanging="0"/>
        <w:jc w:val="both"/>
        <w:rPr>
          <w:rFonts w:cs="Arial"/>
          <w:sz w:val="24"/>
        </w:rPr>
      </w:pPr>
      <w:r>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cs="Arial"/>
          <w:sz w:val="24"/>
        </w:rPr>
      </w:pPr>
      <w:r>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cs="Arial"/>
          <w:sz w:val="24"/>
        </w:rPr>
      </w:pPr>
      <w:r>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cs="Arial"/>
          <w:sz w:val="24"/>
        </w:rPr>
      </w:pPr>
      <w:r>
        <w:rPr>
          <w:rFonts w:cs="Arial"/>
          <w:sz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rFonts w:cs="Arial"/>
          <w:sz w:val="24"/>
        </w:rPr>
      </w:pPr>
      <w:r>
        <w:rPr>
          <w:rFonts w:cs="Arial"/>
          <w:sz w:val="24"/>
        </w:rPr>
        <w:t>As sanções por atos praticados no decorrer da contratação estão previstas nos anexos a este Aviso.</w:t>
      </w:r>
    </w:p>
    <w:p>
      <w:pPr>
        <w:pStyle w:val="Normal"/>
        <w:spacing w:lineRule="auto" w:line="276" w:before="120" w:after="120"/>
        <w:ind w:left="425" w:hanging="0"/>
        <w:jc w:val="both"/>
        <w:rPr>
          <w:rFonts w:cs="Arial"/>
          <w:sz w:val="24"/>
        </w:rPr>
      </w:pPr>
      <w:r>
        <w:rPr>
          <w:rFonts w:cs="Arial"/>
          <w:sz w:val="24"/>
        </w:rPr>
      </w:r>
    </w:p>
    <w:p>
      <w:pPr>
        <w:pStyle w:val="Ttulo1"/>
        <w:numPr>
          <w:ilvl w:val="0"/>
          <w:numId w:val="1"/>
        </w:numPr>
        <w:rPr>
          <w:rFonts w:ascii="Arial" w:hAnsi="Arial" w:cs="Arial"/>
          <w:color w:val="auto"/>
          <w:sz w:val="24"/>
          <w:szCs w:val="24"/>
        </w:rPr>
      </w:pPr>
      <w:bookmarkStart w:id="13" w:name="_Toc104906826"/>
      <w:r>
        <w:rPr>
          <w:rFonts w:cs="Arial" w:ascii="Arial" w:hAnsi="Arial"/>
          <w:color w:val="auto"/>
          <w:sz w:val="24"/>
          <w:szCs w:val="24"/>
        </w:rPr>
        <w:t>DAS DISPOSIÇÕES GERAIS</w:t>
      </w:r>
      <w:bookmarkEnd w:id="13"/>
    </w:p>
    <w:p>
      <w:pPr>
        <w:pStyle w:val="Normal"/>
        <w:numPr>
          <w:ilvl w:val="1"/>
          <w:numId w:val="1"/>
        </w:numPr>
        <w:snapToGrid w:val="false"/>
        <w:spacing w:lineRule="auto" w:line="276" w:before="120" w:after="120"/>
        <w:ind w:left="857" w:hanging="432"/>
        <w:jc w:val="both"/>
        <w:rPr>
          <w:rFonts w:cs="Arial"/>
          <w:sz w:val="24"/>
        </w:rPr>
      </w:pPr>
      <w:r>
        <w:rPr>
          <w:rFonts w:cs="Arial"/>
          <w:sz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 w:val="24"/>
        </w:rPr>
      </w:pPr>
      <w:r>
        <w:rPr>
          <w:rFonts w:cs="Arial"/>
          <w:color w:val="000000"/>
          <w:sz w:val="24"/>
        </w:rPr>
        <w:t>republicar o presente aviso com uma nova data;</w:t>
      </w:r>
    </w:p>
    <w:p>
      <w:pPr>
        <w:pStyle w:val="Normal"/>
        <w:numPr>
          <w:ilvl w:val="2"/>
          <w:numId w:val="1"/>
        </w:numPr>
        <w:spacing w:lineRule="auto" w:line="276" w:before="120" w:after="120"/>
        <w:jc w:val="both"/>
        <w:rPr>
          <w:rFonts w:cs="Arial"/>
          <w:color w:val="000000"/>
          <w:sz w:val="24"/>
        </w:rPr>
      </w:pPr>
      <w:r>
        <w:rPr>
          <w:rFonts w:cs="Arial"/>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cs="Arial"/>
          <w:color w:val="000000"/>
          <w:sz w:val="24"/>
        </w:rPr>
      </w:pPr>
      <w:r>
        <w:rPr>
          <w:rFonts w:cs="Arial"/>
          <w:color w:val="000000"/>
          <w:sz w:val="24"/>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 w:val="24"/>
        </w:rPr>
      </w:pPr>
      <w:r>
        <w:rPr>
          <w:rFonts w:cs="Arial"/>
          <w:color w:val="000000"/>
          <w:sz w:val="24"/>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cs="Arial"/>
          <w:color w:val="000000" w:themeColor="text1"/>
          <w:sz w:val="24"/>
        </w:rPr>
      </w:pPr>
      <w:r>
        <w:rPr>
          <w:rFonts w:cs="Arial"/>
          <w:color w:val="000000" w:themeColor="text1"/>
          <w:sz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Da sessão pública será divulgada Ata no sistema eletrônico.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Integram este Aviso de Contratação Direta, para todos os fins e efeitos, os seguintes anexos:</w:t>
      </w:r>
    </w:p>
    <w:p>
      <w:pPr>
        <w:pStyle w:val="Normal"/>
        <w:numPr>
          <w:ilvl w:val="2"/>
          <w:numId w:val="1"/>
        </w:numPr>
        <w:spacing w:lineRule="auto" w:line="276" w:before="120" w:after="120"/>
        <w:jc w:val="both"/>
        <w:rPr>
          <w:rFonts w:cs="Arial"/>
          <w:color w:val="000000"/>
          <w:sz w:val="24"/>
        </w:rPr>
      </w:pPr>
      <w:r>
        <w:rPr>
          <w:rFonts w:cs="Arial"/>
          <w:color w:val="000000"/>
          <w:sz w:val="24"/>
        </w:rPr>
        <w:t>ANEXO I – Documentação exigida para Habilitação</w:t>
      </w:r>
    </w:p>
    <w:p>
      <w:pPr>
        <w:pStyle w:val="Normal"/>
        <w:numPr>
          <w:ilvl w:val="2"/>
          <w:numId w:val="1"/>
        </w:numPr>
        <w:spacing w:lineRule="auto" w:line="276" w:before="120" w:after="120"/>
        <w:jc w:val="both"/>
        <w:rPr>
          <w:rFonts w:cs="Arial"/>
          <w:color w:val="000000"/>
          <w:sz w:val="24"/>
        </w:rPr>
      </w:pPr>
      <w:r>
        <w:rPr>
          <w:rFonts w:cs="Arial"/>
          <w:color w:val="000000"/>
          <w:sz w:val="24"/>
        </w:rPr>
        <w:t>ANEXO II - Termo de Referência;</w:t>
      </w:r>
    </w:p>
    <w:p>
      <w:pPr>
        <w:pStyle w:val="Normal"/>
        <w:numPr>
          <w:ilvl w:val="3"/>
          <w:numId w:val="1"/>
        </w:numPr>
        <w:spacing w:lineRule="auto" w:line="276" w:before="120" w:after="120"/>
        <w:jc w:val="both"/>
        <w:rPr/>
      </w:pPr>
      <w:r>
        <w:rPr>
          <w:rFonts w:cs="Arial"/>
          <w:i/>
          <w:iCs/>
          <w:sz w:val="24"/>
        </w:rPr>
        <w:t>ANEXO II.1 – Estudo Técnico Preliminar</w:t>
      </w:r>
    </w:p>
    <w:p>
      <w:pPr>
        <w:pStyle w:val="Normal"/>
        <w:spacing w:lineRule="auto" w:line="276" w:before="0" w:after="120"/>
        <w:ind w:left="360" w:right="-15" w:hanging="0"/>
        <w:jc w:val="center"/>
        <w:rPr>
          <w:rFonts w:cs="Arial"/>
          <w:color w:val="000000"/>
          <w:sz w:val="24"/>
        </w:rPr>
      </w:pPr>
      <w:r>
        <w:rPr>
          <w:rFonts w:cs="Arial"/>
          <w:color w:val="000000"/>
          <w:sz w:val="24"/>
        </w:rPr>
      </w:r>
    </w:p>
    <w:p>
      <w:pPr>
        <w:pStyle w:val="Normal"/>
        <w:spacing w:lineRule="auto" w:line="276" w:before="0" w:after="120"/>
        <w:ind w:left="360" w:right="-15" w:hanging="0"/>
        <w:jc w:val="center"/>
        <w:rPr/>
      </w:pPr>
      <w:r>
        <w:rPr>
          <w:rFonts w:cs="Arial"/>
          <w:b/>
          <w:bCs/>
          <w:iCs/>
          <w:color w:val="000000"/>
          <w:sz w:val="24"/>
        </w:rPr>
        <w:t>Juiz de Fora, MG, _____ de ____________________ de 2023</w:t>
      </w:r>
    </w:p>
    <w:p>
      <w:pPr>
        <w:pStyle w:val="Normal"/>
        <w:spacing w:lineRule="auto" w:line="276" w:before="0" w:after="120"/>
        <w:ind w:left="360" w:right="-15" w:hanging="0"/>
        <w:jc w:val="center"/>
        <w:rPr>
          <w:rFonts w:cs="Arial"/>
          <w:color w:val="000000"/>
          <w:sz w:val="24"/>
        </w:rPr>
      </w:pPr>
      <w:r>
        <w:rPr>
          <w:rFonts w:cs="Arial"/>
          <w:color w:val="000000"/>
          <w:sz w:val="24"/>
        </w:rPr>
      </w:r>
    </w:p>
    <w:p>
      <w:pPr>
        <w:pStyle w:val="Normal"/>
        <w:spacing w:lineRule="auto" w:line="276" w:before="0" w:after="120"/>
        <w:ind w:left="360" w:right="-15" w:hanging="0"/>
        <w:jc w:val="center"/>
        <w:rPr>
          <w:rFonts w:cs="Arial"/>
          <w:color w:val="000000"/>
          <w:sz w:val="24"/>
        </w:rPr>
      </w:pPr>
      <w:r>
        <w:rPr>
          <w:rFonts w:cs="Arial"/>
          <w:color w:val="000000"/>
          <w:sz w:val="24"/>
        </w:rPr>
      </w:r>
    </w:p>
    <w:p>
      <w:pPr>
        <w:pStyle w:val="Normal"/>
        <w:spacing w:lineRule="auto" w:line="276" w:before="0" w:after="120"/>
        <w:ind w:left="360" w:right="-15" w:hanging="0"/>
        <w:jc w:val="center"/>
        <w:rPr>
          <w:rFonts w:cs="Arial"/>
          <w:color w:val="000000"/>
          <w:sz w:val="24"/>
        </w:rPr>
      </w:pPr>
      <w:r>
        <w:rPr>
          <w:rFonts w:cs="Arial"/>
          <w:color w:val="000000"/>
          <w:sz w:val="24"/>
        </w:rPr>
      </w:r>
    </w:p>
    <w:p>
      <w:pPr>
        <w:pStyle w:val="Normal"/>
        <w:spacing w:lineRule="auto" w:line="276" w:before="0" w:after="120"/>
        <w:ind w:left="360" w:right="-15" w:hanging="0"/>
        <w:jc w:val="center"/>
        <w:rPr>
          <w:rFonts w:cs="Arial"/>
          <w:color w:val="000000"/>
          <w:sz w:val="24"/>
        </w:rPr>
      </w:pPr>
      <w:r>
        <w:rPr>
          <w:rFonts w:cs="Arial"/>
          <w:color w:val="000000"/>
          <w:sz w:val="24"/>
        </w:rPr>
      </w:r>
    </w:p>
    <w:p>
      <w:pPr>
        <w:pStyle w:val="Normal"/>
        <w:spacing w:lineRule="auto" w:line="276" w:before="0" w:after="120"/>
        <w:ind w:left="360" w:right="-15" w:hanging="0"/>
        <w:jc w:val="center"/>
        <w:rPr>
          <w:rFonts w:cs="Arial"/>
          <w:color w:val="000000"/>
          <w:sz w:val="24"/>
        </w:rPr>
      </w:pPr>
      <w:r>
        <w:rPr>
          <w:rFonts w:cs="Arial"/>
          <w:b/>
          <w:bCs/>
          <w:iCs/>
          <w:color w:val="000000"/>
          <w:sz w:val="24"/>
        </w:rPr>
        <w:t>UBIRAJARA PANIZZI DE SOUZA – Cel</w:t>
      </w:r>
    </w:p>
    <w:p>
      <w:pPr>
        <w:pStyle w:val="Normal"/>
        <w:spacing w:lineRule="auto" w:line="276" w:before="0" w:after="120"/>
        <w:ind w:left="360" w:right="-15" w:hanging="0"/>
        <w:jc w:val="center"/>
        <w:rPr>
          <w:rFonts w:cs="Arial"/>
          <w:color w:val="000000"/>
          <w:sz w:val="24"/>
        </w:rPr>
      </w:pPr>
      <w:r>
        <w:rPr>
          <w:rFonts w:cs="Arial"/>
          <w:b/>
          <w:bCs/>
          <w:iCs/>
          <w:color w:val="000000"/>
          <w:sz w:val="24"/>
        </w:rPr>
        <w:t>Ordenador de Despesas da 4ª Brigada de Infantaria Leve de Montanha</w:t>
      </w:r>
    </w:p>
    <w:p>
      <w:pPr>
        <w:pStyle w:val="Normal"/>
        <w:spacing w:lineRule="auto" w:line="259" w:before="0" w:after="160"/>
        <w:rPr>
          <w:rFonts w:cs="Arial"/>
          <w:b/>
          <w:b/>
          <w:bCs/>
          <w:iCs/>
          <w:color w:val="000000"/>
          <w:sz w:val="24"/>
        </w:rPr>
      </w:pPr>
      <w:r>
        <w:rPr>
          <w:rFonts w:cs="Arial"/>
          <w:b/>
          <w:bCs/>
          <w:iCs/>
          <w:color w:val="000000"/>
          <w:sz w:val="24"/>
        </w:rPr>
      </w:r>
      <w:r>
        <w:br w:type="page"/>
      </w:r>
    </w:p>
    <w:p>
      <w:pPr>
        <w:pStyle w:val="Normal"/>
        <w:spacing w:lineRule="auto" w:line="276"/>
        <w:jc w:val="center"/>
        <w:rPr>
          <w:rFonts w:cs="Arial"/>
          <w:sz w:val="24"/>
        </w:rPr>
      </w:pPr>
      <w:r>
        <w:rPr>
          <w:rFonts w:cs="Arial"/>
          <w:sz w:val="24"/>
        </w:rPr>
      </w:r>
    </w:p>
    <w:p>
      <w:pPr>
        <w:pStyle w:val="Ttulododocumento"/>
        <w:jc w:val="center"/>
        <w:rPr>
          <w:rFonts w:ascii="Arial" w:hAnsi="Arial" w:cs="Arial"/>
          <w:sz w:val="24"/>
          <w:szCs w:val="24"/>
        </w:rPr>
      </w:pPr>
      <w:commentRangeStart w:id="15"/>
      <w:r>
        <w:rPr>
          <w:rFonts w:cs="Arial" w:ascii="Arial" w:hAnsi="Arial"/>
          <w:sz w:val="24"/>
          <w:szCs w:val="24"/>
        </w:rPr>
        <w:t>ANEXO I – DOCUMENTAÇÃO EXIGIDA PARA HABILITAÇÃO</w:t>
      </w:r>
      <w:commentRangeEnd w:id="15"/>
      <w:r>
        <w:commentReference w:id="15"/>
      </w:r>
      <w:r>
        <w:rPr>
          <w:rFonts w:cs="Arial" w:ascii="Arial" w:hAnsi="Arial"/>
          <w:sz w:val="24"/>
          <w:szCs w:val="24"/>
        </w:rPr>
      </w:r>
    </w:p>
    <w:p>
      <w:pPr>
        <w:pStyle w:val="Normal"/>
        <w:rPr>
          <w:rFonts w:cs="Arial"/>
          <w:sz w:val="24"/>
          <w:lang w:eastAsia="en-US"/>
        </w:rPr>
      </w:pPr>
      <w:r>
        <w:rPr>
          <w:rFonts w:cs="Arial"/>
          <w:sz w:val="24"/>
          <w:lang w:eastAsia="en-US"/>
        </w:rPr>
      </w:r>
    </w:p>
    <w:p>
      <w:pPr>
        <w:pStyle w:val="Normal"/>
        <w:rPr>
          <w:rFonts w:cs="Arial"/>
          <w:sz w:val="24"/>
          <w:lang w:eastAsia="en-US"/>
        </w:rPr>
      </w:pPr>
      <w:r>
        <w:rPr>
          <w:rFonts w:cs="Arial"/>
          <w:sz w:val="24"/>
          <w:lang w:eastAsia="en-US"/>
        </w:rPr>
      </w:r>
    </w:p>
    <w:p>
      <w:pPr>
        <w:pStyle w:val="PADRO"/>
        <w:keepNext w:val="false"/>
        <w:widowControl/>
        <w:numPr>
          <w:ilvl w:val="0"/>
          <w:numId w:val="3"/>
        </w:numPr>
        <w:spacing w:before="120" w:after="120"/>
        <w:rPr>
          <w:rFonts w:ascii="Arial" w:hAnsi="Arial" w:cs="Arial"/>
          <w:sz w:val="24"/>
        </w:rPr>
      </w:pPr>
      <w:r>
        <w:rPr>
          <w:rFonts w:cs="Arial" w:ascii="Arial" w:hAnsi="Arial"/>
          <w:b/>
          <w:bCs/>
          <w:color w:val="000000"/>
          <w:sz w:val="24"/>
        </w:rPr>
        <w:t xml:space="preserve">Habilitação jurídica: </w:t>
      </w:r>
    </w:p>
    <w:p>
      <w:pPr>
        <w:pStyle w:val="Normal"/>
        <w:numPr>
          <w:ilvl w:val="1"/>
          <w:numId w:val="3"/>
        </w:numPr>
        <w:tabs>
          <w:tab w:val="clear" w:pos="708"/>
          <w:tab w:val="left" w:pos="1440" w:leader="none"/>
        </w:tabs>
        <w:snapToGrid w:val="false"/>
        <w:spacing w:lineRule="auto" w:line="276" w:before="120" w:after="120"/>
        <w:jc w:val="both"/>
        <w:rPr>
          <w:rFonts w:cs="Arial"/>
          <w:sz w:val="24"/>
        </w:rPr>
      </w:pPr>
      <w:r>
        <w:rPr>
          <w:rFonts w:cs="Arial"/>
          <w:sz w:val="24"/>
        </w:rPr>
        <w:t>no caso de empresário individual, inscrição no Registro Público de Empresas Mercantis, a cargo da Junta Comercial da respectiva sede;</w:t>
      </w:r>
    </w:p>
    <w:p>
      <w:pPr>
        <w:pStyle w:val="ListParagraph"/>
        <w:numPr>
          <w:ilvl w:val="1"/>
          <w:numId w:val="3"/>
        </w:numPr>
        <w:tabs>
          <w:tab w:val="clear" w:pos="708"/>
          <w:tab w:val="left" w:pos="1440" w:leader="none"/>
        </w:tabs>
        <w:snapToGrid w:val="false"/>
        <w:spacing w:lineRule="auto" w:line="276" w:before="120" w:after="120"/>
        <w:contextualSpacing/>
        <w:jc w:val="both"/>
        <w:rPr>
          <w:rFonts w:cs="Arial"/>
          <w:color w:val="000000"/>
          <w:sz w:val="24"/>
        </w:rPr>
      </w:pPr>
      <w:r>
        <w:rPr>
          <w:rFonts w:cs="Arial"/>
          <w:color w:val="000000"/>
          <w:sz w:val="24"/>
        </w:rPr>
        <w:t>Em se tratando de Microempreendedor Individual – MEI: Certificado da Condição de Microempreendedor Individual - CCMEI, cuja aceitação ficará condicionada à verificação da autenticidade no sítio www.portaldoempreendedor.gov.br;</w:t>
      </w:r>
    </w:p>
    <w:p>
      <w:pPr>
        <w:pStyle w:val="Normal"/>
        <w:numPr>
          <w:ilvl w:val="1"/>
          <w:numId w:val="3"/>
        </w:numPr>
        <w:tabs>
          <w:tab w:val="clear" w:pos="708"/>
          <w:tab w:val="left" w:pos="1440" w:leader="none"/>
        </w:tabs>
        <w:snapToGrid w:val="false"/>
        <w:spacing w:lineRule="auto" w:line="276" w:before="120" w:after="120"/>
        <w:jc w:val="both"/>
        <w:rPr>
          <w:rFonts w:cs="Arial"/>
          <w:color w:val="000000"/>
          <w:sz w:val="24"/>
        </w:rPr>
      </w:pPr>
      <w:r>
        <w:rPr>
          <w:rFonts w:cs="Arial"/>
          <w:color w:val="000000"/>
          <w:sz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1"/>
          <w:numId w:val="3"/>
        </w:numPr>
        <w:tabs>
          <w:tab w:val="clear" w:pos="708"/>
          <w:tab w:val="left" w:pos="1440" w:leader="none"/>
        </w:tabs>
        <w:snapToGrid w:val="false"/>
        <w:spacing w:lineRule="auto" w:line="276" w:before="120" w:after="120"/>
        <w:jc w:val="both"/>
        <w:rPr>
          <w:rFonts w:cs="Arial"/>
          <w:color w:val="000000"/>
          <w:sz w:val="24"/>
        </w:rPr>
      </w:pPr>
      <w:r>
        <w:rPr>
          <w:rFonts w:cs="Arial"/>
          <w:color w:val="000000"/>
          <w:sz w:val="24"/>
        </w:rPr>
        <w:t>inscrição no Registro Público de Empresas Mercantis onde opera, com averbação no Registro onde tem sede a matriz, no caso de ser o participante sucursal, filial ou agência;</w:t>
      </w:r>
    </w:p>
    <w:p>
      <w:pPr>
        <w:pStyle w:val="Normal"/>
        <w:numPr>
          <w:ilvl w:val="1"/>
          <w:numId w:val="3"/>
        </w:numPr>
        <w:tabs>
          <w:tab w:val="clear" w:pos="708"/>
          <w:tab w:val="left" w:pos="1440" w:leader="none"/>
        </w:tabs>
        <w:snapToGrid w:val="false"/>
        <w:spacing w:lineRule="auto" w:line="276" w:before="120" w:after="120"/>
        <w:jc w:val="both"/>
        <w:rPr>
          <w:rFonts w:cs="Arial"/>
          <w:sz w:val="24"/>
        </w:rPr>
      </w:pPr>
      <w:r>
        <w:rPr>
          <w:rFonts w:cs="Arial"/>
          <w:color w:val="000000"/>
          <w:sz w:val="24"/>
        </w:rPr>
        <w:t>No caso de sociedade simples: inscrição do ato constitutivo no Registro Civil das Pessoas Jurídicas do local de sua sede, acompanhada de prova da indicação dos seus administradores;</w:t>
      </w:r>
    </w:p>
    <w:p>
      <w:pPr>
        <w:pStyle w:val="Normal"/>
        <w:numPr>
          <w:ilvl w:val="1"/>
          <w:numId w:val="3"/>
        </w:numPr>
        <w:tabs>
          <w:tab w:val="clear" w:pos="708"/>
          <w:tab w:val="left" w:pos="1440" w:leader="none"/>
        </w:tabs>
        <w:snapToGrid w:val="false"/>
        <w:spacing w:lineRule="auto" w:line="276" w:before="120" w:after="120"/>
        <w:jc w:val="both"/>
        <w:rPr>
          <w:rFonts w:cs="Arial"/>
          <w:color w:val="000000"/>
          <w:sz w:val="24"/>
        </w:rPr>
      </w:pPr>
      <w:r>
        <w:rPr>
          <w:rFonts w:cs="Arial"/>
          <w:color w:val="000000"/>
          <w:sz w:val="24"/>
        </w:rPr>
        <w:t>decreto de autorização, em se tratando de sociedade empresária estrangeira em funcionamento no País;</w:t>
      </w:r>
    </w:p>
    <w:p>
      <w:pPr>
        <w:pStyle w:val="ListParagraph"/>
        <w:numPr>
          <w:ilvl w:val="1"/>
          <w:numId w:val="3"/>
        </w:numPr>
        <w:spacing w:lineRule="auto" w:line="276" w:before="120" w:after="120"/>
        <w:contextualSpacing/>
        <w:jc w:val="both"/>
        <w:rPr>
          <w:rFonts w:cs="Arial"/>
          <w:bCs/>
          <w:color w:val="000000"/>
          <w:sz w:val="24"/>
        </w:rPr>
      </w:pPr>
      <w:r>
        <w:rPr>
          <w:rFonts w:cs="Arial"/>
          <w:bCs/>
          <w:color w:val="000000"/>
          <w:sz w:val="24"/>
        </w:rPr>
        <w:t>Os documentos acima deverão estar acompanhados de todas as alterações ou da consolidação respectiva.</w:t>
      </w:r>
    </w:p>
    <w:p>
      <w:pPr>
        <w:pStyle w:val="ListParagraph"/>
        <w:spacing w:lineRule="auto" w:line="276" w:before="120" w:after="120"/>
        <w:ind w:left="1134" w:hanging="0"/>
        <w:contextualSpacing/>
        <w:jc w:val="both"/>
        <w:rPr>
          <w:rFonts w:cs="Arial"/>
          <w:bCs/>
          <w:color w:val="000000"/>
          <w:sz w:val="24"/>
        </w:rPr>
      </w:pPr>
      <w:r>
        <w:rPr>
          <w:rFonts w:cs="Arial"/>
          <w:bCs/>
          <w:color w:val="000000"/>
          <w:sz w:val="24"/>
        </w:rPr>
      </w:r>
    </w:p>
    <w:p>
      <w:pPr>
        <w:pStyle w:val="PADRO"/>
        <w:keepNext w:val="false"/>
        <w:widowControl/>
        <w:numPr>
          <w:ilvl w:val="0"/>
          <w:numId w:val="3"/>
        </w:numPr>
        <w:spacing w:before="120" w:after="120"/>
        <w:rPr>
          <w:rFonts w:ascii="Arial" w:hAnsi="Arial" w:cs="Arial"/>
          <w:sz w:val="24"/>
        </w:rPr>
      </w:pPr>
      <w:r>
        <w:rPr>
          <w:rFonts w:cs="Arial" w:ascii="Arial" w:hAnsi="Arial"/>
          <w:b/>
          <w:bCs/>
          <w:color w:val="000000"/>
          <w:sz w:val="24"/>
        </w:rPr>
        <w:t>Regularidade fiscal, social e trabalhista:</w:t>
      </w:r>
    </w:p>
    <w:p>
      <w:pPr>
        <w:pStyle w:val="Normal"/>
        <w:numPr>
          <w:ilvl w:val="1"/>
          <w:numId w:val="3"/>
        </w:numPr>
        <w:tabs>
          <w:tab w:val="clear" w:pos="708"/>
          <w:tab w:val="left" w:pos="1440" w:leader="none"/>
        </w:tabs>
        <w:snapToGrid w:val="false"/>
        <w:spacing w:lineRule="auto" w:line="276" w:before="120" w:after="120"/>
        <w:jc w:val="both"/>
        <w:rPr>
          <w:rFonts w:cs="Arial"/>
          <w:sz w:val="24"/>
        </w:rPr>
      </w:pPr>
      <w:r>
        <w:rPr>
          <w:rFonts w:cs="Arial"/>
          <w:sz w:val="24"/>
          <w:lang w:eastAsia="en-US"/>
        </w:rPr>
        <w:t>prova de inscrição no Cadastro Nacional de Pessoas Jurídicas ou no Cadastro de Pessoas Físicas, conforme o caso;</w:t>
      </w:r>
    </w:p>
    <w:p>
      <w:pPr>
        <w:pStyle w:val="Normal"/>
        <w:numPr>
          <w:ilvl w:val="1"/>
          <w:numId w:val="3"/>
        </w:numPr>
        <w:tabs>
          <w:tab w:val="clear" w:pos="708"/>
          <w:tab w:val="left" w:pos="1440" w:leader="none"/>
        </w:tabs>
        <w:snapToGrid w:val="false"/>
        <w:spacing w:lineRule="auto" w:line="276" w:before="120" w:after="120"/>
        <w:jc w:val="both"/>
        <w:rPr>
          <w:rFonts w:cs="Arial"/>
          <w:sz w:val="24"/>
        </w:rPr>
      </w:pPr>
      <w:r>
        <w:rPr>
          <w:rFonts w:cs="Arial"/>
          <w:sz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3"/>
        </w:numPr>
        <w:tabs>
          <w:tab w:val="clear" w:pos="708"/>
          <w:tab w:val="left" w:pos="1440" w:leader="none"/>
        </w:tabs>
        <w:snapToGrid w:val="false"/>
        <w:spacing w:lineRule="auto" w:line="276" w:before="120" w:after="120"/>
        <w:jc w:val="both"/>
        <w:rPr>
          <w:rFonts w:cs="Arial"/>
          <w:color w:val="000000"/>
          <w:sz w:val="24"/>
        </w:rPr>
      </w:pPr>
      <w:r>
        <w:rPr>
          <w:rFonts w:cs="Arial"/>
          <w:color w:val="000000"/>
          <w:sz w:val="24"/>
          <w:lang w:eastAsia="en-US"/>
        </w:rPr>
        <w:t>prova de regularidade com o Fundo de Garantia do Tempo de Serviço (FGTS);</w:t>
      </w:r>
    </w:p>
    <w:p>
      <w:pPr>
        <w:pStyle w:val="Normal"/>
        <w:numPr>
          <w:ilvl w:val="1"/>
          <w:numId w:val="3"/>
        </w:numPr>
        <w:tabs>
          <w:tab w:val="clear" w:pos="708"/>
          <w:tab w:val="left" w:pos="1440" w:leader="none"/>
        </w:tabs>
        <w:snapToGrid w:val="false"/>
        <w:spacing w:lineRule="auto" w:line="276" w:before="120" w:after="120"/>
        <w:jc w:val="both"/>
        <w:rPr>
          <w:rFonts w:cs="Arial"/>
          <w:sz w:val="24"/>
        </w:rPr>
      </w:pPr>
      <w:r>
        <w:rPr>
          <w:rFonts w:cs="Arial"/>
          <w:sz w:val="24"/>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3"/>
        </w:numPr>
        <w:tabs>
          <w:tab w:val="clear" w:pos="708"/>
          <w:tab w:val="left" w:pos="1440" w:leader="none"/>
        </w:tabs>
        <w:snapToGrid w:val="false"/>
        <w:spacing w:lineRule="auto" w:line="276" w:before="120" w:after="120"/>
        <w:jc w:val="both"/>
        <w:rPr>
          <w:rFonts w:cs="Arial"/>
          <w:bCs/>
          <w:sz w:val="24"/>
        </w:rPr>
      </w:pPr>
      <w:r>
        <w:rPr>
          <w:rFonts w:cs="Arial"/>
          <w:bCs/>
          <w:sz w:val="24"/>
        </w:rPr>
        <w:t xml:space="preserve">prova de </w:t>
      </w:r>
      <w:r>
        <w:rPr>
          <w:rFonts w:cs="Arial"/>
          <w:color w:val="000000"/>
          <w:sz w:val="24"/>
        </w:rPr>
        <w:t xml:space="preserve">inscrição no cadastro de contribuintes </w:t>
      </w:r>
      <w:r>
        <w:rPr>
          <w:rFonts w:cs="Arial"/>
          <w:sz w:val="24"/>
        </w:rPr>
        <w:t>estadual e municipal</w:t>
      </w:r>
      <w:r>
        <w:rPr>
          <w:rFonts w:cs="Arial"/>
          <w:color w:val="000000"/>
          <w:sz w:val="24"/>
        </w:rPr>
        <w:t>, relativo ao domicílio ou sede do fornecedor, pertinente ao seu ramo de atividade e compatível com o objeto contratual</w:t>
      </w:r>
      <w:r>
        <w:rPr>
          <w:rFonts w:cs="Arial"/>
          <w:bCs/>
          <w:sz w:val="24"/>
        </w:rPr>
        <w:t xml:space="preserve">; </w:t>
      </w:r>
    </w:p>
    <w:p>
      <w:pPr>
        <w:pStyle w:val="Normal"/>
        <w:numPr>
          <w:ilvl w:val="1"/>
          <w:numId w:val="3"/>
        </w:numPr>
        <w:tabs>
          <w:tab w:val="clear" w:pos="708"/>
          <w:tab w:val="left" w:pos="1440" w:leader="none"/>
        </w:tabs>
        <w:snapToGrid w:val="false"/>
        <w:spacing w:lineRule="auto" w:line="276" w:before="120" w:after="120"/>
        <w:jc w:val="both"/>
        <w:rPr>
          <w:rFonts w:cs="Arial"/>
          <w:b/>
          <w:b/>
          <w:sz w:val="24"/>
        </w:rPr>
      </w:pPr>
      <w:commentRangeStart w:id="16"/>
      <w:r>
        <w:rPr>
          <w:rFonts w:cs="Arial"/>
          <w:sz w:val="24"/>
        </w:rPr>
        <w:t xml:space="preserve">prova de regularidade com a Fazenda Estadual e Municipal do domicílio ou sede do fornecedor, relativa à atividade em cujo exercício contrata ou concorre; </w:t>
      </w:r>
      <w:commentRangeEnd w:id="16"/>
      <w:r>
        <w:commentReference w:id="16"/>
      </w:r>
      <w:r>
        <w:rPr>
          <w:rFonts w:cs="Arial"/>
          <w:sz w:val="24"/>
        </w:rPr>
      </w:r>
    </w:p>
    <w:p>
      <w:pPr>
        <w:pStyle w:val="Normal"/>
        <w:numPr>
          <w:ilvl w:val="1"/>
          <w:numId w:val="3"/>
        </w:numPr>
        <w:tabs>
          <w:tab w:val="clear" w:pos="708"/>
          <w:tab w:val="left" w:pos="1440" w:leader="none"/>
        </w:tabs>
        <w:snapToGrid w:val="false"/>
        <w:spacing w:lineRule="auto" w:line="276" w:before="120" w:after="120"/>
        <w:jc w:val="both"/>
        <w:rPr>
          <w:rFonts w:cs="Arial"/>
          <w:b/>
          <w:b/>
          <w:sz w:val="24"/>
        </w:rPr>
      </w:pPr>
      <w:r>
        <w:rPr>
          <w:rFonts w:cs="Arial"/>
          <w:sz w:val="24"/>
        </w:rPr>
        <w:t xml:space="preserve">caso o fornecedor seja considerado isento dos tributos estaduais </w:t>
      </w:r>
      <w:r>
        <w:rPr>
          <w:rFonts w:cs="Arial"/>
          <w:sz w:val="24"/>
          <w:u w:val="single"/>
        </w:rPr>
        <w:t>ou</w:t>
      </w:r>
      <w:r>
        <w:rPr>
          <w:rFonts w:cs="Arial"/>
          <w:sz w:val="24"/>
        </w:rPr>
        <w:t xml:space="preserve"> municipaisrelacionados ao objeto contratual, deverá comprovar tal condição mediante a apresentação de declaração da Fazenda respectiva do seu domicílio ou sede, ou outra equivalente, na forma da lei; </w:t>
      </w:r>
    </w:p>
    <w:p>
      <w:pPr>
        <w:pStyle w:val="PADRO"/>
        <w:keepNext w:val="false"/>
        <w:widowControl/>
        <w:numPr>
          <w:ilvl w:val="0"/>
          <w:numId w:val="3"/>
        </w:numPr>
        <w:spacing w:before="120" w:after="120"/>
        <w:rPr>
          <w:rFonts w:ascii="Arial" w:hAnsi="Arial" w:cs="Arial"/>
          <w:sz w:val="24"/>
        </w:rPr>
      </w:pPr>
      <w:commentRangeStart w:id="17"/>
      <w:r>
        <w:rPr>
          <w:rFonts w:cs="Arial" w:ascii="Arial" w:hAnsi="Arial"/>
          <w:b/>
          <w:color w:val="000000"/>
          <w:sz w:val="24"/>
        </w:rPr>
        <w:t>Qualificação Econômico-Financeira:</w:t>
      </w:r>
      <w:commentRangeEnd w:id="17"/>
      <w:r>
        <w:commentReference w:id="17"/>
      </w:r>
      <w:r>
        <w:rPr>
          <w:rFonts w:cs="Arial" w:ascii="Arial" w:hAnsi="Arial"/>
          <w:b/>
          <w:color w:val="000000"/>
          <w:sz w:val="24"/>
        </w:rPr>
      </w:r>
    </w:p>
    <w:p>
      <w:pPr>
        <w:pStyle w:val="ListParagraph"/>
        <w:numPr>
          <w:ilvl w:val="1"/>
          <w:numId w:val="3"/>
        </w:numPr>
        <w:tabs>
          <w:tab w:val="clear" w:pos="708"/>
          <w:tab w:val="left" w:pos="1440" w:leader="none"/>
        </w:tabs>
        <w:snapToGrid w:val="false"/>
        <w:spacing w:lineRule="auto" w:line="276" w:before="120" w:after="120"/>
        <w:contextualSpacing/>
        <w:jc w:val="both"/>
        <w:rPr>
          <w:rFonts w:cs="Arial"/>
          <w:color w:val="000000"/>
          <w:sz w:val="24"/>
        </w:rPr>
      </w:pPr>
      <w:r>
        <w:rPr>
          <w:rFonts w:cs="Arial"/>
          <w:color w:val="000000"/>
          <w:sz w:val="24"/>
        </w:rPr>
        <w:t>certidão negativa de falência expedida pelo distribuidor da sede do fornecedor;</w:t>
      </w:r>
    </w:p>
    <w:p>
      <w:pPr>
        <w:pStyle w:val="Normal"/>
        <w:numPr>
          <w:ilvl w:val="1"/>
          <w:numId w:val="3"/>
        </w:numPr>
        <w:tabs>
          <w:tab w:val="clear" w:pos="708"/>
          <w:tab w:val="left" w:pos="1440" w:leader="none"/>
        </w:tabs>
        <w:snapToGrid w:val="false"/>
        <w:spacing w:lineRule="auto" w:line="276" w:before="120" w:after="120"/>
        <w:jc w:val="both"/>
        <w:rPr>
          <w:rFonts w:cs="Arial"/>
          <w:color w:val="000000"/>
          <w:sz w:val="24"/>
        </w:rPr>
      </w:pPr>
      <w:r>
        <w:rPr>
          <w:rFonts w:cs="Arial"/>
          <w:color w:val="000000"/>
          <w:sz w:val="24"/>
        </w:rPr>
        <w:t>balanço patrimonial, demonstração de resultado de exercício e demais demonstrações contábeis dos 2 (dois) últimos exercícios sociais;</w:t>
      </w:r>
    </w:p>
    <w:p>
      <w:pPr>
        <w:pStyle w:val="Normal"/>
        <w:numPr>
          <w:ilvl w:val="2"/>
          <w:numId w:val="3"/>
        </w:numPr>
        <w:spacing w:lineRule="auto" w:line="276" w:before="120" w:after="120"/>
        <w:jc w:val="both"/>
        <w:rPr>
          <w:rFonts w:cs="Arial"/>
          <w:color w:val="000000"/>
          <w:sz w:val="24"/>
        </w:rPr>
      </w:pPr>
      <w:r>
        <w:rPr>
          <w:rFonts w:cs="Arial"/>
          <w:color w:val="000000"/>
          <w:sz w:val="24"/>
        </w:rPr>
        <w:t>As empresas criadas no exercício financeiro da dispensa deverão atender a todas as exigências da habilitação e poderão substituir os demonstrativos contábeis pelo balanço de abertura.</w:t>
      </w:r>
    </w:p>
    <w:p>
      <w:pPr>
        <w:pStyle w:val="Normal"/>
        <w:numPr>
          <w:ilvl w:val="2"/>
          <w:numId w:val="3"/>
        </w:numPr>
        <w:spacing w:lineRule="auto" w:line="276" w:before="120" w:after="120"/>
        <w:jc w:val="both"/>
        <w:rPr>
          <w:rFonts w:cs="Arial"/>
          <w:color w:val="000000"/>
          <w:sz w:val="24"/>
        </w:rPr>
      </w:pPr>
      <w:r>
        <w:rPr>
          <w:rFonts w:cs="Arial"/>
          <w:color w:val="000000"/>
          <w:sz w:val="24"/>
        </w:rPr>
        <w:t>Os documentos referidos acima limitar-se-ão ao último exercício no caso de a pessoa jurídica ter sido constituída há menos de 2 (dois) anos.</w:t>
      </w:r>
    </w:p>
    <w:p>
      <w:pPr>
        <w:pStyle w:val="Nivel4"/>
        <w:tabs>
          <w:tab w:val="clear" w:pos="0"/>
        </w:tabs>
        <w:ind w:left="502" w:hanging="0"/>
        <w:rPr>
          <w:rFonts w:ascii="Arial" w:hAnsi="Arial"/>
          <w:i/>
          <w:i/>
          <w:color w:val="FF0000"/>
          <w:sz w:val="24"/>
          <w:szCs w:val="24"/>
        </w:rPr>
      </w:pPr>
      <w:r>
        <w:rPr>
          <w:rFonts w:ascii="Arial" w:hAnsi="Arial"/>
          <w:i/>
          <w:color w:val="FF0000"/>
          <w:sz w:val="24"/>
          <w:szCs w:val="24"/>
        </w:rPr>
      </w:r>
    </w:p>
    <w:p>
      <w:pPr>
        <w:pStyle w:val="Normal"/>
        <w:numPr>
          <w:ilvl w:val="1"/>
          <w:numId w:val="3"/>
        </w:numPr>
        <w:tabs>
          <w:tab w:val="clear" w:pos="708"/>
          <w:tab w:val="left" w:pos="1440" w:leader="none"/>
        </w:tabs>
        <w:snapToGrid w:val="false"/>
        <w:spacing w:lineRule="auto" w:line="276" w:before="120" w:after="120"/>
        <w:jc w:val="both"/>
        <w:rPr>
          <w:rFonts w:cs="Arial"/>
          <w:color w:val="000000"/>
          <w:sz w:val="24"/>
        </w:rPr>
      </w:pPr>
      <w:r>
        <w:rPr>
          <w:rFonts w:cs="Arial"/>
          <w:color w:val="000000"/>
          <w:sz w:val="24"/>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6487" w:type="dxa"/>
        <w:jc w:val="left"/>
        <w:tblInd w:w="1134" w:type="dxa"/>
        <w:tblLayout w:type="fixed"/>
        <w:tblCellMar>
          <w:top w:w="0" w:type="dxa"/>
          <w:left w:w="108" w:type="dxa"/>
          <w:bottom w:w="0" w:type="dxa"/>
          <w:right w:w="108" w:type="dxa"/>
        </w:tblCellMar>
        <w:tblLook w:val="04a0"/>
      </w:tblPr>
      <w:tblGrid>
        <w:gridCol w:w="2234"/>
        <w:gridCol w:w="4252"/>
      </w:tblGrid>
      <w:tr>
        <w:trPr/>
        <w:tc>
          <w:tcPr>
            <w:tcW w:w="2234" w:type="dxa"/>
            <w:vMerge w:val="restart"/>
            <w:tcBorders>
              <w:top w:val="nil"/>
              <w:left w:val="nil"/>
              <w:bottom w:val="nil"/>
              <w:right w:val="nil"/>
            </w:tcBorders>
            <w:vAlign w:val="center"/>
          </w:tcPr>
          <w:p>
            <w:pPr>
              <w:pStyle w:val="Normal"/>
              <w:widowControl/>
              <w:tabs>
                <w:tab w:val="clear" w:pos="708"/>
                <w:tab w:val="left" w:pos="1440" w:leader="none"/>
              </w:tabs>
              <w:suppressAutoHyphens w:val="true"/>
              <w:snapToGrid w:val="false"/>
              <w:spacing w:lineRule="auto" w:line="276" w:before="0" w:after="0"/>
              <w:jc w:val="both"/>
              <w:rPr>
                <w:rFonts w:cs="Arial"/>
                <w:color w:val="000000"/>
                <w:sz w:val="24"/>
              </w:rPr>
            </w:pPr>
            <w:r>
              <w:rPr>
                <w:rFonts w:cs="Arial"/>
                <w:color w:val="000000"/>
                <w:kern w:val="0"/>
                <w:sz w:val="24"/>
                <w:lang w:val="pt-BR" w:bidi="ar-SA"/>
              </w:rPr>
              <w:t>LG =</w:t>
            </w:r>
          </w:p>
        </w:tc>
        <w:tc>
          <w:tcPr>
            <w:tcW w:w="4252" w:type="dxa"/>
            <w:tcBorders>
              <w:top w:val="nil"/>
              <w:left w:val="nil"/>
              <w:right w:val="nil"/>
            </w:tcBorders>
            <w:vAlign w:val="bottom"/>
          </w:tcPr>
          <w:p>
            <w:pPr>
              <w:pStyle w:val="Normal"/>
              <w:widowControl/>
              <w:tabs>
                <w:tab w:val="clear" w:pos="708"/>
                <w:tab w:val="left" w:pos="1440" w:leader="none"/>
              </w:tabs>
              <w:suppressAutoHyphens w:val="true"/>
              <w:snapToGrid w:val="false"/>
              <w:spacing w:lineRule="auto" w:line="276" w:before="0" w:after="0"/>
              <w:jc w:val="both"/>
              <w:rPr>
                <w:rFonts w:cs="Arial"/>
                <w:color w:val="000000"/>
                <w:sz w:val="24"/>
              </w:rPr>
            </w:pPr>
            <w:r>
              <w:rPr>
                <w:rFonts w:cs="Arial"/>
                <w:color w:val="000000"/>
                <w:kern w:val="0"/>
                <w:sz w:val="24"/>
                <w:lang w:val="pt-BR" w:bidi="ar-SA"/>
              </w:rPr>
              <w:t>Ativo Circulante + Realizável a Longo Prazo</w:t>
            </w:r>
          </w:p>
        </w:tc>
      </w:tr>
      <w:tr>
        <w:trPr/>
        <w:tc>
          <w:tcPr>
            <w:tcW w:w="2234" w:type="dxa"/>
            <w:vMerge w:val="continue"/>
            <w:tcBorders>
              <w:top w:val="nil"/>
              <w:left w:val="nil"/>
              <w:bottom w:val="nil"/>
              <w:right w:val="nil"/>
            </w:tcBorders>
          </w:tcPr>
          <w:p>
            <w:pPr>
              <w:pStyle w:val="Normal"/>
              <w:widowControl/>
              <w:tabs>
                <w:tab w:val="clear" w:pos="708"/>
                <w:tab w:val="left" w:pos="1440" w:leader="none"/>
              </w:tabs>
              <w:suppressAutoHyphens w:val="true"/>
              <w:snapToGrid w:val="false"/>
              <w:spacing w:lineRule="auto" w:line="276" w:before="0" w:after="0"/>
              <w:jc w:val="both"/>
              <w:rPr>
                <w:rFonts w:cs="Arial"/>
                <w:color w:val="000000"/>
                <w:sz w:val="24"/>
              </w:rPr>
            </w:pPr>
            <w:r>
              <w:rPr>
                <w:rFonts w:cs="Arial"/>
                <w:color w:val="000000"/>
                <w:kern w:val="0"/>
                <w:sz w:val="24"/>
                <w:lang w:val="pt-BR" w:bidi="ar-SA"/>
              </w:rPr>
            </w:r>
          </w:p>
        </w:tc>
        <w:tc>
          <w:tcPr>
            <w:tcW w:w="4252" w:type="dxa"/>
            <w:tcBorders>
              <w:left w:val="nil"/>
              <w:bottom w:val="nil"/>
              <w:right w:val="nil"/>
            </w:tcBorders>
          </w:tcPr>
          <w:p>
            <w:pPr>
              <w:pStyle w:val="Normal"/>
              <w:widowControl/>
              <w:tabs>
                <w:tab w:val="clear" w:pos="708"/>
                <w:tab w:val="left" w:pos="1440" w:leader="none"/>
              </w:tabs>
              <w:suppressAutoHyphens w:val="true"/>
              <w:snapToGrid w:val="false"/>
              <w:spacing w:lineRule="auto" w:line="276" w:before="0" w:after="0"/>
              <w:jc w:val="both"/>
              <w:rPr>
                <w:rFonts w:cs="Arial"/>
                <w:color w:val="000000"/>
                <w:sz w:val="24"/>
              </w:rPr>
            </w:pPr>
            <w:r>
              <w:rPr>
                <w:rFonts w:cs="Arial"/>
                <w:color w:val="000000"/>
                <w:kern w:val="0"/>
                <w:sz w:val="24"/>
                <w:lang w:val="pt-BR" w:bidi="ar-SA"/>
              </w:rPr>
              <w:t>Passivo Circulante + Passivo Não Circulante</w:t>
            </w:r>
          </w:p>
        </w:tc>
      </w:tr>
    </w:tbl>
    <w:p>
      <w:pPr>
        <w:pStyle w:val="Normal"/>
        <w:tabs>
          <w:tab w:val="clear" w:pos="708"/>
          <w:tab w:val="left" w:pos="1440" w:leader="none"/>
        </w:tabs>
        <w:snapToGrid w:val="false"/>
        <w:spacing w:lineRule="auto" w:line="276"/>
        <w:ind w:left="1134" w:hanging="0"/>
        <w:jc w:val="both"/>
        <w:rPr>
          <w:rFonts w:cs="Arial"/>
          <w:color w:val="000000"/>
          <w:sz w:val="24"/>
        </w:rPr>
      </w:pPr>
      <w:r>
        <w:rPr>
          <w:rFonts w:cs="Arial"/>
          <w:color w:val="000000"/>
          <w:sz w:val="24"/>
        </w:rPr>
      </w:r>
    </w:p>
    <w:tbl>
      <w:tblPr>
        <w:tblStyle w:val="Tabelacomgrade"/>
        <w:tblW w:w="6629" w:type="dxa"/>
        <w:jc w:val="left"/>
        <w:tblInd w:w="1134" w:type="dxa"/>
        <w:tblLayout w:type="fixed"/>
        <w:tblCellMar>
          <w:top w:w="0" w:type="dxa"/>
          <w:left w:w="108" w:type="dxa"/>
          <w:bottom w:w="0" w:type="dxa"/>
          <w:right w:w="108" w:type="dxa"/>
        </w:tblCellMar>
        <w:tblLook w:val="04a0"/>
      </w:tblPr>
      <w:tblGrid>
        <w:gridCol w:w="2235"/>
        <w:gridCol w:w="4393"/>
      </w:tblGrid>
      <w:tr>
        <w:trPr>
          <w:cantSplit w:val="true"/>
        </w:trPr>
        <w:tc>
          <w:tcPr>
            <w:tcW w:w="2235" w:type="dxa"/>
            <w:vMerge w:val="restart"/>
            <w:tcBorders>
              <w:top w:val="nil"/>
              <w:left w:val="nil"/>
              <w:bottom w:val="nil"/>
              <w:right w:val="nil"/>
            </w:tcBorders>
            <w:vAlign w:val="center"/>
          </w:tcPr>
          <w:p>
            <w:pPr>
              <w:pStyle w:val="Normal"/>
              <w:widowControl/>
              <w:tabs>
                <w:tab w:val="clear" w:pos="708"/>
                <w:tab w:val="left" w:pos="1440" w:leader="none"/>
              </w:tabs>
              <w:suppressAutoHyphens w:val="true"/>
              <w:snapToGrid w:val="false"/>
              <w:spacing w:lineRule="auto" w:line="276" w:before="0" w:after="0"/>
              <w:jc w:val="both"/>
              <w:rPr>
                <w:rFonts w:cs="Arial"/>
                <w:color w:val="000000"/>
                <w:sz w:val="24"/>
              </w:rPr>
            </w:pPr>
            <w:r>
              <w:rPr>
                <w:rFonts w:cs="Arial"/>
                <w:color w:val="000000"/>
                <w:kern w:val="0"/>
                <w:sz w:val="24"/>
                <w:lang w:val="pt-BR" w:bidi="ar-SA"/>
              </w:rPr>
              <w:t>SG =</w:t>
            </w:r>
          </w:p>
        </w:tc>
        <w:tc>
          <w:tcPr>
            <w:tcW w:w="4393" w:type="dxa"/>
            <w:tcBorders>
              <w:top w:val="nil"/>
              <w:left w:val="nil"/>
              <w:right w:val="nil"/>
            </w:tcBorders>
            <w:vAlign w:val="bottom"/>
          </w:tcPr>
          <w:p>
            <w:pPr>
              <w:pStyle w:val="Normal"/>
              <w:widowControl/>
              <w:tabs>
                <w:tab w:val="clear" w:pos="708"/>
                <w:tab w:val="left" w:pos="1440" w:leader="none"/>
              </w:tabs>
              <w:suppressAutoHyphens w:val="true"/>
              <w:snapToGrid w:val="false"/>
              <w:spacing w:lineRule="auto" w:line="276" w:before="0" w:after="0"/>
              <w:jc w:val="both"/>
              <w:rPr>
                <w:rFonts w:cs="Arial"/>
                <w:color w:val="000000"/>
                <w:sz w:val="24"/>
              </w:rPr>
            </w:pPr>
            <w:r>
              <w:rPr>
                <w:rFonts w:cs="Arial"/>
                <w:color w:val="000000"/>
                <w:kern w:val="0"/>
                <w:sz w:val="24"/>
                <w:lang w:val="pt-BR" w:bidi="ar-SA"/>
              </w:rPr>
              <w:t>Ativo Total</w:t>
            </w:r>
          </w:p>
        </w:tc>
      </w:tr>
      <w:tr>
        <w:trPr>
          <w:cantSplit w:val="true"/>
        </w:trPr>
        <w:tc>
          <w:tcPr>
            <w:tcW w:w="2235" w:type="dxa"/>
            <w:vMerge w:val="continue"/>
            <w:tcBorders>
              <w:top w:val="nil"/>
              <w:left w:val="nil"/>
              <w:bottom w:val="nil"/>
              <w:right w:val="nil"/>
            </w:tcBorders>
          </w:tcPr>
          <w:p>
            <w:pPr>
              <w:pStyle w:val="Normal"/>
              <w:widowControl/>
              <w:tabs>
                <w:tab w:val="clear" w:pos="708"/>
                <w:tab w:val="left" w:pos="1440" w:leader="none"/>
              </w:tabs>
              <w:suppressAutoHyphens w:val="true"/>
              <w:snapToGrid w:val="false"/>
              <w:spacing w:lineRule="auto" w:line="276" w:before="0" w:after="0"/>
              <w:jc w:val="both"/>
              <w:rPr>
                <w:rFonts w:cs="Arial"/>
                <w:color w:val="000000"/>
                <w:sz w:val="24"/>
              </w:rPr>
            </w:pPr>
            <w:r>
              <w:rPr>
                <w:rFonts w:cs="Arial"/>
                <w:color w:val="000000"/>
                <w:kern w:val="0"/>
                <w:sz w:val="24"/>
                <w:lang w:val="pt-BR" w:bidi="ar-SA"/>
              </w:rPr>
            </w:r>
          </w:p>
        </w:tc>
        <w:tc>
          <w:tcPr>
            <w:tcW w:w="4393" w:type="dxa"/>
            <w:tcBorders>
              <w:left w:val="nil"/>
              <w:bottom w:val="nil"/>
              <w:right w:val="nil"/>
            </w:tcBorders>
          </w:tcPr>
          <w:p>
            <w:pPr>
              <w:pStyle w:val="Normal"/>
              <w:widowControl/>
              <w:tabs>
                <w:tab w:val="clear" w:pos="708"/>
                <w:tab w:val="left" w:pos="1440" w:leader="none"/>
              </w:tabs>
              <w:suppressAutoHyphens w:val="true"/>
              <w:snapToGrid w:val="false"/>
              <w:spacing w:lineRule="auto" w:line="276" w:before="0" w:after="0"/>
              <w:jc w:val="both"/>
              <w:rPr>
                <w:rFonts w:cs="Arial"/>
                <w:color w:val="000000"/>
                <w:sz w:val="24"/>
              </w:rPr>
            </w:pPr>
            <w:r>
              <w:rPr>
                <w:rFonts w:cs="Arial"/>
                <w:color w:val="000000"/>
                <w:kern w:val="0"/>
                <w:sz w:val="24"/>
                <w:lang w:val="pt-BR" w:bidi="ar-SA"/>
              </w:rPr>
              <w:t>Passivo Circulante + Passivo Não Circulante</w:t>
            </w:r>
          </w:p>
        </w:tc>
      </w:tr>
    </w:tbl>
    <w:p>
      <w:pPr>
        <w:pStyle w:val="Normal"/>
        <w:tabs>
          <w:tab w:val="clear" w:pos="708"/>
          <w:tab w:val="left" w:pos="1440" w:leader="none"/>
        </w:tabs>
        <w:snapToGrid w:val="false"/>
        <w:spacing w:lineRule="auto" w:line="276"/>
        <w:ind w:left="1134" w:hanging="0"/>
        <w:jc w:val="both"/>
        <w:rPr>
          <w:rFonts w:cs="Arial"/>
          <w:color w:val="000000"/>
          <w:sz w:val="24"/>
        </w:rPr>
      </w:pPr>
      <w:r>
        <w:rPr>
          <w:rFonts w:cs="Arial"/>
          <w:color w:val="000000"/>
          <w:sz w:val="24"/>
        </w:rPr>
      </w:r>
    </w:p>
    <w:tbl>
      <w:tblPr>
        <w:tblStyle w:val="Tabelacomgrade"/>
        <w:tblW w:w="4786" w:type="dxa"/>
        <w:jc w:val="left"/>
        <w:tblInd w:w="1134" w:type="dxa"/>
        <w:tblLayout w:type="fixed"/>
        <w:tblCellMar>
          <w:top w:w="0" w:type="dxa"/>
          <w:left w:w="108" w:type="dxa"/>
          <w:bottom w:w="0" w:type="dxa"/>
          <w:right w:w="108" w:type="dxa"/>
        </w:tblCellMar>
        <w:tblLook w:val="04a0"/>
      </w:tblPr>
      <w:tblGrid>
        <w:gridCol w:w="2235"/>
        <w:gridCol w:w="2550"/>
      </w:tblGrid>
      <w:tr>
        <w:trPr/>
        <w:tc>
          <w:tcPr>
            <w:tcW w:w="2235" w:type="dxa"/>
            <w:vMerge w:val="restart"/>
            <w:tcBorders>
              <w:top w:val="nil"/>
              <w:left w:val="nil"/>
              <w:bottom w:val="nil"/>
              <w:right w:val="nil"/>
            </w:tcBorders>
            <w:vAlign w:val="center"/>
          </w:tcPr>
          <w:p>
            <w:pPr>
              <w:pStyle w:val="Normal"/>
              <w:widowControl/>
              <w:tabs>
                <w:tab w:val="clear" w:pos="708"/>
                <w:tab w:val="left" w:pos="1440" w:leader="none"/>
              </w:tabs>
              <w:suppressAutoHyphens w:val="true"/>
              <w:snapToGrid w:val="false"/>
              <w:spacing w:lineRule="auto" w:line="276" w:before="0" w:after="0"/>
              <w:jc w:val="both"/>
              <w:rPr>
                <w:rFonts w:cs="Arial"/>
                <w:color w:val="000000"/>
                <w:sz w:val="24"/>
              </w:rPr>
            </w:pPr>
            <w:r>
              <w:rPr>
                <w:rFonts w:cs="Arial"/>
                <w:color w:val="000000"/>
                <w:kern w:val="0"/>
                <w:sz w:val="24"/>
                <w:lang w:val="pt-BR" w:bidi="ar-SA"/>
              </w:rPr>
              <w:t>LC =</w:t>
            </w:r>
          </w:p>
        </w:tc>
        <w:tc>
          <w:tcPr>
            <w:tcW w:w="2550" w:type="dxa"/>
            <w:tcBorders>
              <w:top w:val="nil"/>
              <w:left w:val="nil"/>
              <w:right w:val="nil"/>
            </w:tcBorders>
            <w:vAlign w:val="bottom"/>
          </w:tcPr>
          <w:p>
            <w:pPr>
              <w:pStyle w:val="Normal"/>
              <w:widowControl/>
              <w:tabs>
                <w:tab w:val="clear" w:pos="708"/>
                <w:tab w:val="left" w:pos="1440" w:leader="none"/>
              </w:tabs>
              <w:suppressAutoHyphens w:val="true"/>
              <w:snapToGrid w:val="false"/>
              <w:spacing w:lineRule="auto" w:line="276" w:before="0" w:after="0"/>
              <w:jc w:val="both"/>
              <w:rPr>
                <w:rFonts w:cs="Arial"/>
                <w:color w:val="000000"/>
                <w:sz w:val="24"/>
              </w:rPr>
            </w:pPr>
            <w:r>
              <w:rPr>
                <w:rFonts w:cs="Arial"/>
                <w:color w:val="000000"/>
                <w:kern w:val="0"/>
                <w:sz w:val="24"/>
                <w:lang w:val="pt-BR" w:bidi="ar-SA"/>
              </w:rPr>
              <w:t>Ativo Circulante</w:t>
            </w:r>
          </w:p>
        </w:tc>
      </w:tr>
      <w:tr>
        <w:trPr/>
        <w:tc>
          <w:tcPr>
            <w:tcW w:w="2235" w:type="dxa"/>
            <w:vMerge w:val="continue"/>
            <w:tcBorders>
              <w:top w:val="nil"/>
              <w:left w:val="nil"/>
              <w:bottom w:val="nil"/>
              <w:right w:val="nil"/>
            </w:tcBorders>
          </w:tcPr>
          <w:p>
            <w:pPr>
              <w:pStyle w:val="Normal"/>
              <w:widowControl/>
              <w:tabs>
                <w:tab w:val="clear" w:pos="708"/>
                <w:tab w:val="left" w:pos="1440" w:leader="none"/>
              </w:tabs>
              <w:suppressAutoHyphens w:val="true"/>
              <w:snapToGrid w:val="false"/>
              <w:spacing w:lineRule="auto" w:line="276" w:before="0" w:after="0"/>
              <w:jc w:val="both"/>
              <w:rPr>
                <w:rFonts w:cs="Arial"/>
                <w:color w:val="000000"/>
                <w:sz w:val="24"/>
              </w:rPr>
            </w:pPr>
            <w:r>
              <w:rPr>
                <w:rFonts w:cs="Arial"/>
                <w:color w:val="000000"/>
                <w:kern w:val="0"/>
                <w:sz w:val="24"/>
                <w:lang w:val="pt-BR" w:bidi="ar-SA"/>
              </w:rPr>
            </w:r>
          </w:p>
        </w:tc>
        <w:tc>
          <w:tcPr>
            <w:tcW w:w="2550" w:type="dxa"/>
            <w:tcBorders>
              <w:left w:val="nil"/>
              <w:bottom w:val="nil"/>
              <w:right w:val="nil"/>
            </w:tcBorders>
          </w:tcPr>
          <w:p>
            <w:pPr>
              <w:pStyle w:val="Normal"/>
              <w:widowControl/>
              <w:tabs>
                <w:tab w:val="clear" w:pos="708"/>
                <w:tab w:val="left" w:pos="1440" w:leader="none"/>
              </w:tabs>
              <w:suppressAutoHyphens w:val="true"/>
              <w:snapToGrid w:val="false"/>
              <w:spacing w:lineRule="auto" w:line="276" w:before="0" w:after="0"/>
              <w:jc w:val="both"/>
              <w:rPr>
                <w:rFonts w:cs="Arial"/>
                <w:color w:val="000000"/>
                <w:sz w:val="24"/>
              </w:rPr>
            </w:pPr>
            <w:r>
              <w:rPr>
                <w:rFonts w:cs="Arial"/>
                <w:color w:val="000000"/>
                <w:kern w:val="0"/>
                <w:sz w:val="24"/>
                <w:lang w:val="pt-BR" w:bidi="ar-SA"/>
              </w:rPr>
              <w:t>Passivo Circulante</w:t>
            </w:r>
          </w:p>
        </w:tc>
      </w:tr>
    </w:tbl>
    <w:p>
      <w:pPr>
        <w:pStyle w:val="Normal"/>
        <w:numPr>
          <w:ilvl w:val="2"/>
          <w:numId w:val="3"/>
        </w:numPr>
        <w:tabs>
          <w:tab w:val="clear" w:pos="708"/>
          <w:tab w:val="left" w:pos="1440" w:leader="none"/>
        </w:tabs>
        <w:snapToGrid w:val="false"/>
        <w:spacing w:lineRule="auto" w:line="276" w:before="120" w:after="120"/>
        <w:jc w:val="both"/>
        <w:rPr>
          <w:rFonts w:cs="Arial"/>
          <w:color w:val="000000"/>
          <w:sz w:val="24"/>
        </w:rPr>
      </w:pPr>
      <w:commentRangeStart w:id="18"/>
      <w:r>
        <w:rPr>
          <w:rFonts w:cs="Arial"/>
          <w:color w:val="000000"/>
          <w:sz w:val="24"/>
        </w:rPr>
        <w:t>As empresas, que apresentarem resultado inferior ou igual a 1(um) em qualquer dos índices de Liquidez Geral (LG), Solvência Geral (SG) e Liquidez Corrente (LC), deverão comprovar capital ou patrimônio líquido mínimo de</w:t>
      </w:r>
      <w:r>
        <w:rPr>
          <w:rFonts w:cs="Arial"/>
          <w:sz w:val="24"/>
        </w:rPr>
        <w:t>10% (dez por cento)</w:t>
      </w:r>
      <w:r>
        <w:rPr>
          <w:rFonts w:cs="Arial"/>
          <w:color w:val="000000"/>
          <w:sz w:val="24"/>
        </w:rPr>
        <w:t xml:space="preserve">do valor total estimado da contratação ou do item pertinente. </w:t>
      </w:r>
      <w:commentRangeEnd w:id="18"/>
      <w:r>
        <w:commentReference w:id="18"/>
      </w:r>
      <w:r>
        <w:rPr>
          <w:rFonts w:cs="Arial"/>
          <w:color w:val="000000"/>
          <w:sz w:val="24"/>
        </w:rPr>
      </w:r>
    </w:p>
    <w:p>
      <w:pPr>
        <w:pStyle w:val="Normal"/>
        <w:tabs>
          <w:tab w:val="clear" w:pos="708"/>
          <w:tab w:val="left" w:pos="1440" w:leader="none"/>
        </w:tabs>
        <w:snapToGrid w:val="false"/>
        <w:spacing w:lineRule="auto" w:line="276" w:before="120" w:after="120"/>
        <w:ind w:left="1854" w:hanging="0"/>
        <w:jc w:val="both"/>
        <w:rPr>
          <w:rFonts w:cs="Arial"/>
          <w:i/>
          <w:i/>
          <w:iCs/>
          <w:color w:val="FF0000"/>
          <w:sz w:val="24"/>
          <w:lang w:eastAsia="en-US"/>
        </w:rPr>
      </w:pPr>
      <w:r>
        <w:rPr>
          <w:rFonts w:cs="Arial"/>
          <w:i/>
          <w:iCs/>
          <w:color w:val="FF0000"/>
          <w:sz w:val="24"/>
          <w:lang w:eastAsia="en-US"/>
        </w:rPr>
      </w:r>
    </w:p>
    <w:p>
      <w:pPr>
        <w:pStyle w:val="Normal"/>
        <w:rPr>
          <w:rFonts w:cs="Arial"/>
          <w:sz w:val="24"/>
          <w:lang w:eastAsia="en-US"/>
        </w:rPr>
      </w:pPr>
      <w:r>
        <w:rPr>
          <w:rFonts w:cs="Arial"/>
          <w:sz w:val="24"/>
          <w:lang w:eastAsia="en-US"/>
        </w:rPr>
      </w:r>
    </w:p>
    <w:p>
      <w:pPr>
        <w:pStyle w:val="PADRO"/>
        <w:keepNext w:val="false"/>
        <w:widowControl/>
        <w:numPr>
          <w:ilvl w:val="0"/>
          <w:numId w:val="3"/>
        </w:numPr>
        <w:spacing w:before="120" w:after="120"/>
        <w:rPr>
          <w:rFonts w:ascii="Arial" w:hAnsi="Arial" w:cs="Arial"/>
          <w:b/>
          <w:b/>
          <w:sz w:val="24"/>
        </w:rPr>
      </w:pPr>
      <w:commentRangeStart w:id="19"/>
      <w:r>
        <w:rPr>
          <w:rFonts w:cs="Arial" w:ascii="Arial" w:hAnsi="Arial"/>
          <w:b/>
          <w:color w:val="000000"/>
          <w:sz w:val="24"/>
        </w:rPr>
        <w:t>Qualificação</w:t>
      </w:r>
      <w:r>
        <w:rPr>
          <w:rFonts w:cs="Arial" w:ascii="Arial" w:hAnsi="Arial"/>
          <w:b/>
          <w:sz w:val="24"/>
        </w:rPr>
        <w:t xml:space="preserve"> Técnica</w:t>
      </w:r>
      <w:commentRangeEnd w:id="19"/>
      <w:r>
        <w:commentReference w:id="19"/>
      </w:r>
      <w:r>
        <w:rPr>
          <w:rFonts w:cs="Arial" w:ascii="Arial" w:hAnsi="Arial"/>
          <w:b/>
          <w:sz w:val="24"/>
        </w:rPr>
      </w:r>
    </w:p>
    <w:p>
      <w:pPr>
        <w:pStyle w:val="PADRO"/>
        <w:keepNext w:val="false"/>
        <w:widowControl/>
        <w:spacing w:before="120" w:after="120"/>
        <w:ind w:left="927" w:hanging="0"/>
        <w:rPr>
          <w:rFonts w:ascii="Arial" w:hAnsi="Arial" w:cs="Arial"/>
          <w:i/>
          <w:i/>
          <w:iCs/>
          <w:color w:val="FF0000"/>
          <w:sz w:val="24"/>
        </w:rPr>
      </w:pPr>
      <w:r>
        <w:rPr>
          <w:rFonts w:cs="Arial" w:ascii="Arial" w:hAnsi="Arial"/>
          <w:i/>
          <w:iCs/>
          <w:color w:val="FF0000"/>
          <w:sz w:val="24"/>
        </w:rPr>
      </w:r>
    </w:p>
    <w:p>
      <w:pPr>
        <w:pStyle w:val="PADRO"/>
        <w:keepNext w:val="false"/>
        <w:widowControl/>
        <w:numPr>
          <w:ilvl w:val="1"/>
          <w:numId w:val="3"/>
        </w:numPr>
        <w:spacing w:before="120" w:after="120"/>
        <w:rPr>
          <w:rFonts w:ascii="Arial" w:hAnsi="Arial" w:cs="Arial"/>
          <w:bCs/>
          <w:color w:val="000000"/>
          <w:sz w:val="24"/>
        </w:rPr>
      </w:pPr>
      <w:r>
        <w:rPr>
          <w:rFonts w:cs="Arial" w:ascii="Arial" w:hAnsi="Arial"/>
          <w:color w:val="000000"/>
          <w:sz w:val="24"/>
        </w:rPr>
        <w:t xml:space="preserve">Comprovação de aptidão para a prestação dos serviços em características, quantidades e prazos </w:t>
      </w:r>
      <w:r>
        <w:rPr>
          <w:rFonts w:cs="Arial" w:ascii="Arial" w:hAnsi="Arial"/>
          <w:sz w:val="24"/>
        </w:rPr>
        <w:t>compatíveis</w:t>
      </w:r>
      <w:r>
        <w:rPr>
          <w:rFonts w:cs="Arial" w:ascii="Arial" w:hAnsi="Arial"/>
          <w:color w:val="000000"/>
          <w:sz w:val="24"/>
        </w:rPr>
        <w:t xml:space="preserve"> com o objeto desta dispensa, ou com o item pertinente, mediante a apresentação de atestado(s) fornecido(s) por pessoas jurídicas de direito público ou privado. </w:t>
      </w:r>
    </w:p>
    <w:p>
      <w:pPr>
        <w:pStyle w:val="PADRO"/>
        <w:keepNext w:val="false"/>
        <w:widowControl/>
        <w:numPr>
          <w:ilvl w:val="2"/>
          <w:numId w:val="3"/>
        </w:numPr>
        <w:spacing w:before="120" w:after="120"/>
        <w:rPr>
          <w:rFonts w:ascii="Arial" w:hAnsi="Arial" w:cs="Arial"/>
          <w:bCs/>
          <w:color w:val="000000"/>
          <w:sz w:val="24"/>
        </w:rPr>
      </w:pPr>
      <w:r>
        <w:rPr>
          <w:rFonts w:cs="Arial" w:ascii="Arial" w:hAnsi="Arial"/>
          <w:color w:val="000000"/>
          <w:sz w:val="24"/>
        </w:rPr>
        <w:t>Para fins da comprovação de que trata este subitem, os atestados deverão dizer respeito a contratos executados com as seguintes características mínimas:</w:t>
      </w:r>
    </w:p>
    <w:p>
      <w:pPr>
        <w:pStyle w:val="PADRO"/>
        <w:keepNext w:val="false"/>
        <w:widowControl/>
        <w:numPr>
          <w:ilvl w:val="3"/>
          <w:numId w:val="3"/>
        </w:numPr>
        <w:spacing w:before="120" w:after="120"/>
        <w:rPr>
          <w:rFonts w:ascii="Arial" w:hAnsi="Arial" w:cs="Arial"/>
          <w:color w:val="000000"/>
          <w:sz w:val="24"/>
        </w:rPr>
      </w:pPr>
      <w:bookmarkStart w:id="14" w:name="_Hlk519176340"/>
      <w:bookmarkEnd w:id="14"/>
      <w:r>
        <w:rPr>
          <w:rFonts w:cs="Arial" w:ascii="Arial" w:hAnsi="Arial"/>
          <w:color w:val="000000"/>
          <w:sz w:val="24"/>
        </w:rPr>
        <w:t xml:space="preserve">Os atestados deverão referir-se a serviços prestados no âmbito de sua atividade econômica principal ou secundária especificadas no contrato social vigente; </w:t>
      </w:r>
      <w:bookmarkStart w:id="15" w:name="_Hlk519177818"/>
      <w:bookmarkEnd w:id="15"/>
    </w:p>
    <w:p>
      <w:pPr>
        <w:pStyle w:val="PADRO"/>
        <w:keepNext w:val="false"/>
        <w:widowControl/>
        <w:spacing w:before="120" w:after="120"/>
        <w:ind w:left="2421" w:hanging="0"/>
        <w:rPr>
          <w:rFonts w:ascii="Arial" w:hAnsi="Arial" w:cs="Arial"/>
          <w:i/>
          <w:i/>
          <w:color w:val="FF0000"/>
          <w:sz w:val="24"/>
        </w:rPr>
      </w:pPr>
      <w:r>
        <w:rPr>
          <w:rFonts w:cs="Arial" w:ascii="Arial" w:hAnsi="Arial"/>
          <w:i/>
          <w:color w:val="FF0000"/>
          <w:sz w:val="24"/>
        </w:rPr>
      </w:r>
      <w:bookmarkStart w:id="16" w:name="_Hlk519177062"/>
      <w:bookmarkStart w:id="17" w:name="_Hlk519177062"/>
      <w:bookmarkEnd w:id="17"/>
    </w:p>
    <w:p>
      <w:pPr>
        <w:pStyle w:val="PADRO"/>
        <w:keepNext w:val="false"/>
        <w:widowControl/>
        <w:numPr>
          <w:ilvl w:val="3"/>
          <w:numId w:val="3"/>
        </w:numPr>
        <w:spacing w:before="120" w:after="120"/>
        <w:rPr>
          <w:rFonts w:ascii="Arial" w:hAnsi="Arial" w:cs="Arial"/>
          <w:color w:val="000000"/>
          <w:sz w:val="24"/>
        </w:rPr>
      </w:pPr>
      <w:r>
        <w:rPr>
          <w:rFonts w:cs="Arial" w:ascii="Arial" w:hAnsi="Arial"/>
          <w:color w:val="000000"/>
          <w:sz w:val="24"/>
        </w:rPr>
        <w:t>O fornecedor disponibilizará todas as informações necessárias à comprovação da legitimidade dos atestados, apresentando, dentre outros documentos, cópia do contrato que deu suporte à contratação, endereço atual da contratante e local em que foram prestados os serviços.</w:t>
      </w:r>
    </w:p>
    <w:p>
      <w:pPr>
        <w:pStyle w:val="PADRO"/>
        <w:keepNext w:val="false"/>
        <w:widowControl/>
        <w:spacing w:before="120" w:after="120"/>
        <w:ind w:left="927" w:hanging="0"/>
        <w:rPr>
          <w:rFonts w:ascii="Arial" w:hAnsi="Arial" w:cs="Arial"/>
          <w:i/>
          <w:i/>
          <w:color w:val="FF0000"/>
          <w:sz w:val="24"/>
        </w:rPr>
      </w:pPr>
      <w:r>
        <w:rPr>
          <w:rFonts w:cs="Arial" w:ascii="Arial" w:hAnsi="Arial"/>
          <w:i/>
          <w:color w:val="FF0000"/>
          <w:sz w:val="24"/>
        </w:rPr>
      </w:r>
    </w:p>
    <w:p>
      <w:pPr>
        <w:pStyle w:val="PADRO"/>
        <w:keepNext w:val="false"/>
        <w:widowControl/>
        <w:spacing w:before="120" w:after="120"/>
        <w:ind w:left="927" w:hanging="0"/>
        <w:rPr>
          <w:rFonts w:ascii="Arial" w:hAnsi="Arial" w:cs="Arial"/>
          <w:bCs/>
          <w:i/>
          <w:i/>
          <w:color w:val="FF0000"/>
          <w:sz w:val="24"/>
        </w:rPr>
      </w:pPr>
      <w:r>
        <w:rPr>
          <w:rFonts w:cs="Arial" w:ascii="Arial" w:hAnsi="Arial"/>
          <w:bCs/>
          <w:i/>
          <w:color w:val="FF0000"/>
          <w:sz w:val="24"/>
        </w:rPr>
      </w:r>
    </w:p>
    <w:p>
      <w:pPr>
        <w:pStyle w:val="Normal"/>
        <w:rPr>
          <w:rFonts w:cs="Arial"/>
          <w:sz w:val="24"/>
          <w:lang w:eastAsia="en-US"/>
        </w:rPr>
      </w:pPr>
      <w:r>
        <w:rPr>
          <w:rFonts w:cs="Arial"/>
          <w:sz w:val="24"/>
          <w:lang w:eastAsia="en-US"/>
        </w:rPr>
      </w:r>
    </w:p>
    <w:p>
      <w:pPr>
        <w:pStyle w:val="PADRO"/>
        <w:keepNext w:val="false"/>
        <w:widowControl/>
        <w:spacing w:before="120" w:after="120"/>
        <w:ind w:left="1854" w:hanging="0"/>
        <w:rPr>
          <w:rFonts w:ascii="Arial" w:hAnsi="Arial" w:cs="Arial"/>
          <w:i/>
          <w:i/>
          <w:color w:val="FF0000"/>
          <w:sz w:val="24"/>
          <w:highlight w:val="green"/>
        </w:rPr>
      </w:pPr>
      <w:r>
        <w:rPr/>
      </w:r>
    </w:p>
    <w:sectPr>
      <w:headerReference w:type="default" r:id="rId5"/>
      <w:headerReference w:type="first" r:id="rId6"/>
      <w:footerReference w:type="default" r:id="rId7"/>
      <w:type w:val="nextPage"/>
      <w:pgSz w:w="11906" w:h="16838"/>
      <w:pgMar w:left="1080" w:right="1080" w:gutter="0" w:header="708" w:top="1440" w:footer="708" w:bottom="1440"/>
      <w:pgNumType w:fmt="decimal"/>
      <w:formProt w:val="false"/>
      <w:titlePg/>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0-00-00T00:00:00Z" w:initials="A">
    <w:p>
      <w:r>
        <w:rPr>
          <w:rFonts w:ascii="Liberation Serif" w:hAnsi="Liberation Serif" w:eastAsia="Segoe UI"/>
          <w:b/>
          <w:bCs/>
          <w:color w:val="000000"/>
          <w:sz w:val="24"/>
          <w:lang w:val="en-US" w:eastAsia="en-US" w:bidi="en-US"/>
        </w:rPr>
        <w:t>NOTAS EXPLICATIVAS</w:t>
      </w:r>
    </w:p>
    <w:p>
      <w:r>
        <w:rPr>
          <w:rFonts w:ascii="Liberation Serif" w:hAnsi="Liberation Serif" w:eastAsia="Segoe UI"/>
          <w:i/>
          <w:iCs/>
          <w:color w:val="000000"/>
          <w:sz w:val="24"/>
          <w:lang w:val="en-US" w:eastAsia="en-US" w:bidi="en-US"/>
        </w:rPr>
        <w:t xml:space="preserve">O presente modelo de aviso de dispensa foi elaborado com fundamento na Lei nº 14.133/21 e na IN SEGES/ME nº 67/21. Eventuais sugestões de alteração de texto do referido modelo de aviso de contratação direta poderão ser encaminhadas ao e-mail: </w:t>
      </w:r>
      <w:hyperlink r:id="rId1">
        <w:r>
          <w:rPr>
            <w:rFonts w:ascii="Liberation Serif" w:hAnsi="Liberation Serif" w:eastAsia="Segoe UI"/>
            <w:i/>
            <w:iCs/>
            <w:color w:val="000000"/>
            <w:sz w:val="24"/>
            <w:lang w:val="en-US" w:eastAsia="en-US" w:bidi="en-US"/>
          </w:rPr>
          <w:t>cgu.modeloscontratacao@agu.gov.br</w:t>
        </w:r>
      </w:hyperlink>
      <w:r>
        <w:rPr>
          <w:rFonts w:ascii="Liberation Serif" w:hAnsi="Liberation Serif" w:eastAsia="Segoe UI"/>
          <w:i/>
          <w:iCs/>
          <w:color w:val="000080"/>
          <w:sz w:val="24"/>
          <w:u w:val="single"/>
          <w:lang w:val="en-US" w:eastAsia="en-US" w:bidi="en-US"/>
        </w:rPr>
        <w:t>.</w:t>
      </w:r>
    </w:p>
    <w:p>
      <w:r>
        <w:rPr>
          <w:rFonts w:ascii="Liberation Serif" w:hAnsi="Liberation Serif" w:eastAsia="Segoe UI"/>
          <w:i/>
          <w:iCs/>
          <w:color w:val="000000"/>
          <w:sz w:val="24"/>
          <w:lang w:val="en-US" w:eastAsia="en-US" w:bidi="en-US"/>
        </w:rPr>
        <w:t>Os itens deste modelo de Aviso de Contratação Direta destacados em vermelho itálico devem ser preenchidos ou adotados pelo órgão ou entidade pública contratante, de acordo com as peculiaridades do objeto da dispensa e critérios de oportunidade e conveniência, cuidando-se para que sejam reproduzidas as mesmas definições nos demais instrumentos, para que não conflitem</w:t>
      </w:r>
      <w:r>
        <w:rPr>
          <w:rFonts w:ascii="Liberation Serif" w:hAnsi="Liberation Serif" w:eastAsia="Segoe UI"/>
          <w:i/>
          <w:iCs/>
          <w:color w:val="00B0F0"/>
          <w:sz w:val="24"/>
          <w:lang w:val="en-US" w:eastAsia="en-US" w:bidi="en-US"/>
        </w:rPr>
        <w:t xml:space="preserve">. </w:t>
      </w:r>
    </w:p>
    <w:p>
      <w:r>
        <w:rPr>
          <w:rFonts w:ascii="Liberation Serif" w:hAnsi="Liberation Serif" w:eastAsia="Segoe UI"/>
          <w:i/>
          <w:iCs/>
          <w:color w:val="000000"/>
          <w:sz w:val="24"/>
          <w:lang w:val="en-US" w:eastAsia="en-US" w:bidi="en-US"/>
        </w:rPr>
        <w:t>Alguns itens receberam notas explicativas destacadas para orientação do agente ou setor responsável pela elaboração das minutas. Tais notas deverão ser suprimidas quando da finalização do documento.</w:t>
      </w:r>
    </w:p>
    <w:p>
      <w:r>
        <w:rPr>
          <w:rFonts w:ascii="Liberation Serif" w:hAnsi="Liberation Serif" w:eastAsia="Segoe UI"/>
          <w:b/>
          <w:bCs/>
          <w:i/>
          <w:iCs/>
          <w:color w:val="000000"/>
          <w:sz w:val="24"/>
          <w:lang w:val="en-US" w:eastAsia="en-US" w:bidi="en-US"/>
        </w:rPr>
        <w:t xml:space="preserve">Sistema de Cores: </w:t>
      </w:r>
      <w:r>
        <w:rPr>
          <w:rFonts w:ascii="Liberation Serif" w:hAnsi="Liberation Serif" w:eastAsia="Segoe UI"/>
          <w:i/>
          <w:iCs/>
          <w:color w:val="000000"/>
          <w:sz w:val="24"/>
          <w:lang w:val="en-US" w:eastAsia="en-US" w:bidi="en-US"/>
        </w:rPr>
        <w:t xml:space="preserve">Para facilitar o ajuste do Aviso de Contratação Direta ao tipo de contratação, se não for permitida a participação de cooperativas, exclua todas as disposições destacadas em </w:t>
      </w:r>
      <w:r>
        <w:rPr>
          <w:rFonts w:ascii="Liberation Serif" w:hAnsi="Liberation Serif" w:eastAsia="Segoe UI"/>
          <w:sz w:val="24"/>
          <w:lang w:val="en-US" w:eastAsia="en-US" w:bidi="en-US"/>
        </w:rPr>
        <w:t>verde</w:t>
      </w:r>
      <w:r>
        <w:rPr>
          <w:rFonts w:ascii="Liberation Serif" w:hAnsi="Liberation Serif" w:eastAsia="Segoe UI"/>
          <w:i/>
          <w:iCs/>
          <w:color w:val="000000"/>
          <w:sz w:val="24"/>
          <w:lang w:val="en-US" w:eastAsia="en-US" w:bidi="en-US"/>
        </w:rPr>
        <w:t>. Se for permitida a participação de cooperativas, elas devem ser mantidas.</w:t>
      </w:r>
    </w:p>
  </w:comment>
  <w:comment w:id="1" w:author="Autor" w:date="0-00-00T00:00:00Z" w:initials="A">
    <w:p>
      <w:r>
        <w:rPr>
          <w:rFonts w:ascii="Liberation Serif" w:hAnsi="Liberation Serif" w:eastAsia="Segoe UI"/>
          <w:b/>
          <w:bCs/>
          <w:color w:val="000000"/>
          <w:sz w:val="24"/>
          <w:lang w:val="en-US" w:eastAsia="en-US" w:bidi="en-US"/>
        </w:rPr>
        <w:t xml:space="preserve">Nota explicativa: </w:t>
      </w:r>
      <w:r>
        <w:rPr>
          <w:rFonts w:ascii="Liberation Serif" w:hAnsi="Liberation Serif" w:eastAsia="Segoe UI"/>
          <w:color w:val="000000"/>
          <w:sz w:val="24"/>
          <w:lang w:val="en-US" w:eastAsia="en-US" w:bidi="en-US"/>
        </w:rPr>
        <w:t>Ajustar o Preâmbulo com a hipótese de dispensa.</w:t>
      </w:r>
    </w:p>
  </w:comment>
  <w:comment w:id="2" w:author="Autor" w:date="0-00-00T00:00:00Z" w:initials="A">
    <w:p>
      <w:r>
        <w:rPr>
          <w:rFonts w:ascii="Liberation Serif" w:hAnsi="Liberation Serif" w:eastAsia="Segoe UI"/>
          <w:b/>
          <w:bCs/>
          <w:i/>
          <w:iCs/>
          <w:color w:val="000000"/>
          <w:sz w:val="24"/>
          <w:lang w:val="en-US" w:eastAsia="en-US" w:bidi="en-US"/>
        </w:rPr>
        <w:t xml:space="preserve">Nota Explicativa: </w:t>
      </w:r>
      <w:r>
        <w:rPr>
          <w:rFonts w:ascii="Liberation Serif" w:hAnsi="Liberation Serif" w:eastAsia="Segoe UI"/>
          <w:i/>
          <w:iCs/>
          <w:color w:val="000000"/>
          <w:sz w:val="24"/>
          <w:lang w:val="en-US" w:eastAsia="en-US" w:bidi="en-US"/>
        </w:rPr>
        <w:t>Essa previsão decorre do funcionamento do sistema. Se o sistema for modificado para alterar essa possibilidade, a disposição supracitada deve ser ajustada.</w:t>
      </w:r>
    </w:p>
  </w:comment>
  <w:comment w:id="3" w:author="Autor" w:date="0-00-00T00:00:00Z" w:initials="A">
    <w:p>
      <w:r>
        <w:rPr>
          <w:rFonts w:ascii="Liberation Serif" w:hAnsi="Liberation Serif" w:eastAsia="Segoe UI"/>
          <w:b/>
          <w:bCs/>
          <w:i/>
          <w:iCs/>
          <w:color w:val="000000"/>
          <w:sz w:val="24"/>
          <w:lang w:val="en-US" w:eastAsia="en-US" w:bidi="en-US"/>
        </w:rPr>
        <w:t xml:space="preserve">Nota Explicativa: </w:t>
      </w:r>
      <w:r>
        <w:rPr>
          <w:rFonts w:ascii="Liberation Serif" w:hAnsi="Liberation Serif" w:eastAsia="Segoe UI"/>
          <w:i/>
          <w:iCs/>
          <w:color w:val="000000"/>
          <w:sz w:val="24"/>
          <w:lang w:val="en-US" w:eastAsia="en-US" w:bidi="en-US"/>
        </w:rPr>
        <w:t>a assinalação do campo “não” apenas produzirá o efeito de o fornecedor não ter direito ao tratamento favorecido previsto na Lei Complementar nº 123, de 2006, mesmo que microempresa, empresa de pequeno porte ou sociedade cooperativa.</w:t>
      </w:r>
    </w:p>
  </w:comment>
  <w:comment w:id="4" w:author="Autor" w:date="0-00-00T00:00:00Z" w:initials="A">
    <w:p>
      <w:r>
        <w:rPr>
          <w:rFonts w:ascii="Liberation Serif" w:hAnsi="Liberation Serif" w:eastAsia="Segoe UI"/>
          <w:b/>
          <w:bCs/>
          <w:i/>
          <w:iCs/>
          <w:color w:val="000000"/>
          <w:sz w:val="24"/>
          <w:lang w:val="en-US" w:eastAsia="en-US" w:bidi="en-US"/>
        </w:rPr>
        <w:t>Nota explicativa:</w:t>
      </w:r>
      <w:r>
        <w:rPr>
          <w:rFonts w:ascii="Liberation Serif" w:hAnsi="Liberation Serif" w:eastAsia="Segoe UI"/>
          <w:i/>
          <w:iCs/>
          <w:color w:val="000000"/>
          <w:sz w:val="24"/>
          <w:lang w:val="en-US" w:eastAsia="en-US" w:bidi="en-US"/>
        </w:rPr>
        <w:t xml:space="preserve"> Deve a autoridade optar por uma ou outra redação do item em conformidade ao objeto a ser contratado e ao critério de julgamento já estabelecido.</w:t>
      </w:r>
    </w:p>
  </w:comment>
  <w:comment w:id="5" w:author="Autor" w:date="0-00-00T00:00:00Z" w:initials="A">
    <w:p>
      <w:r>
        <w:rPr>
          <w:rFonts w:ascii="Liberation Serif" w:hAnsi="Liberation Serif" w:eastAsia="Segoe UI"/>
          <w:b/>
          <w:bCs/>
          <w:i/>
          <w:iCs/>
          <w:sz w:val="24"/>
          <w:lang w:val="en-US" w:eastAsia="en-US" w:bidi="en-US"/>
        </w:rPr>
        <w:t>Nota Explicativa</w:t>
      </w:r>
      <w:r>
        <w:rPr>
          <w:rFonts w:ascii="Liberation Serif" w:hAnsi="Liberation Serif" w:eastAsia="Segoe UI"/>
          <w:i/>
          <w:iCs/>
          <w:sz w:val="24"/>
          <w:lang w:val="en-US" w:eastAsia="en-US" w:bidi="en-US"/>
        </w:rPr>
        <w:t>:</w:t>
      </w:r>
      <w:r>
        <w:rPr>
          <w:rFonts w:ascii="Liberation Serif" w:hAnsi="Liberation Serif" w:eastAsia="Segoe UI"/>
          <w:sz w:val="24"/>
          <w:lang w:val="en-US" w:eastAsia="en-US" w:bidi="en-US"/>
        </w:rPr>
        <w:t xml:space="preserve"> utilizar os subitens caso o objeto a ser contratado exija a discriminação de custos unitários e/ou a apresentação de planilha de formação de preços (ex: serviços de engenharia ou serviços com dedicação de mão-de-obra). Deve-se verificar, outrossim, se a inexequibilidade de custos unitários isolados será utilizada como critério de desclassificação.</w:t>
      </w:r>
    </w:p>
  </w:comment>
  <w:comment w:id="6" w:author="Autor" w:date="0-00-00T00:00:00Z" w:initials="A">
    <w:p>
      <w:r>
        <w:rPr>
          <w:rFonts w:ascii="Liberation Serif" w:hAnsi="Liberation Serif" w:eastAsia="Segoe UI"/>
          <w:b/>
          <w:bCs/>
          <w:i/>
          <w:iCs/>
          <w:color w:val="000000"/>
          <w:sz w:val="24"/>
          <w:lang w:val="en-US" w:eastAsia="en-US" w:bidi="en-US"/>
        </w:rPr>
        <w:t xml:space="preserve">Nota Explicativa: </w:t>
      </w:r>
      <w:r>
        <w:rPr>
          <w:rFonts w:ascii="Liberation Serif" w:hAnsi="Liberation Serif" w:eastAsia="Segoe UI"/>
          <w:i/>
          <w:iCs/>
          <w:color w:val="000000"/>
          <w:sz w:val="24"/>
          <w:lang w:val="en-US" w:eastAsia="en-US" w:bidi="en-US"/>
        </w:rPr>
        <w:t>Preencher com prazo reputado como razoável para a conclusão da contratação. Registre-se que não há prazo mínimo ou máximo de validade previsto em normativo neste caso.</w:t>
      </w:r>
    </w:p>
  </w:comment>
  <w:comment w:id="7" w:author="Autor" w:date="0-00-00T00:00:00Z" w:initials="A">
    <w:p>
      <w:r>
        <w:rPr>
          <w:rFonts w:ascii="Liberation Serif" w:hAnsi="Liberation Serif" w:eastAsia="Segoe UI"/>
          <w:b/>
          <w:bCs/>
          <w:i/>
          <w:iCs/>
          <w:color w:val="000000"/>
          <w:sz w:val="24"/>
          <w:lang w:val="en-US" w:eastAsia="en-US" w:bidi="en-US"/>
        </w:rPr>
        <w:t>Nota Explicativa:</w:t>
      </w:r>
      <w:r>
        <w:rPr>
          <w:rFonts w:ascii="Liberation Serif" w:hAnsi="Liberation Serif" w:eastAsia="Segoe UI"/>
          <w:i/>
          <w:iCs/>
          <w:color w:val="000000"/>
          <w:sz w:val="24"/>
          <w:lang w:val="en-US" w:eastAsia="en-US" w:bidi="en-US"/>
        </w:rPr>
        <w:t xml:space="preserve"> Essa disposição aplica-se apenas a obras ou serviços de engenharia. Recomenda-se suprimir para demais objetos contratuais, para maior clareza.</w:t>
      </w:r>
    </w:p>
  </w:comment>
  <w:comment w:id="8" w:author="Autor" w:date="0-00-00T00:00:00Z" w:initials="A">
    <w:p>
      <w:r>
        <w:rPr>
          <w:rFonts w:ascii="Liberation Serif" w:hAnsi="Liberation Serif" w:eastAsia="Segoe UI"/>
          <w:b/>
          <w:bCs/>
          <w:i/>
          <w:iCs/>
          <w:color w:val="000000"/>
          <w:sz w:val="24"/>
          <w:lang w:val="en-US" w:eastAsia="en-US" w:bidi="en-US"/>
        </w:rPr>
        <w:t>Nota explicativa</w:t>
      </w:r>
      <w:r>
        <w:rPr>
          <w:rFonts w:ascii="Liberation Serif" w:hAnsi="Liberation Serif" w:eastAsia="Segoe UI"/>
          <w:i/>
          <w:iCs/>
          <w:color w:val="000000"/>
          <w:sz w:val="24"/>
          <w:lang w:val="en-US" w:eastAsia="en-US" w:bidi="en-US"/>
        </w:rPr>
        <w:t>: A consulta aos dois cadastros – CEIS e CNJ –, além do tradicional SICAF, na fase de habilitação, é recomendação do TCU (Acórdão n° 1.793/2011 – Plenário). Trata-se de verificação da própria condição de participação na contratação.</w:t>
      </w:r>
    </w:p>
    <w:p>
      <w:r>
        <w:rPr>
          <w:rFonts w:ascii="Liberation Serif" w:hAnsi="Liberation Serif" w:eastAsia="Segoe UI"/>
          <w:i/>
          <w:iCs/>
          <w:color w:val="000000"/>
          <w:sz w:val="24"/>
          <w:lang w:val="en-US" w:eastAsia="en-US" w:bidi="en-US"/>
        </w:rPr>
        <w:t>A Consulta Consolidada de Pessoa Jurídica do TCU abrange o cadastro do CNJ, do CEIS, do próprio TCU e o Cadastro Nacional de Empresas Punidas – CNEP do Portal da Transparência.</w:t>
      </w:r>
    </w:p>
  </w:comment>
  <w:comment w:id="9" w:author="Autor" w:date="0-00-00T00:00:00Z" w:initials="A">
    <w:p>
      <w:r>
        <w:rPr>
          <w:rFonts w:ascii="Liberation Serif" w:hAnsi="Liberation Serif" w:eastAsia="Segoe UI"/>
          <w:b/>
          <w:bCs/>
          <w:i/>
          <w:iCs/>
          <w:sz w:val="24"/>
          <w:lang w:val="en-US" w:eastAsia="en-US" w:bidi="en-US"/>
        </w:rPr>
        <w:t xml:space="preserve">Nota Explicativa: </w:t>
      </w:r>
      <w:r>
        <w:rPr>
          <w:rFonts w:ascii="Liberation Serif" w:hAnsi="Liberation Serif" w:eastAsia="Segoe UI"/>
          <w:i/>
          <w:iCs/>
          <w:color w:val="000000"/>
          <w:sz w:val="24"/>
          <w:lang w:val="en-US" w:eastAsia="en-US" w:bidi="en-US"/>
        </w:rPr>
        <w:t>A apresentação do Certificado de Condição de Microempreendedor Individual – CCMEI supre as exigências de inscrição nos cadastros fiscais, na medida em que essas informações constam no próprio Certificado.</w:t>
      </w:r>
    </w:p>
  </w:comment>
  <w:comment w:id="10" w:author="Autor" w:date="0-00-00T00:00:00Z" w:initials="A">
    <w:p>
      <w:r>
        <w:rPr>
          <w:rFonts w:ascii="Liberation Serif" w:hAnsi="Liberation Serif" w:eastAsia="Segoe UI"/>
          <w:b/>
          <w:bCs/>
          <w:color w:val="000000"/>
          <w:sz w:val="24"/>
          <w:lang w:val="en-US" w:eastAsia="en-US" w:bidi="en-US"/>
        </w:rPr>
        <w:t>Notaexplicativa</w:t>
      </w:r>
      <w:r>
        <w:rPr>
          <w:rFonts w:ascii="Liberation Serif" w:hAnsi="Liberation Serif" w:eastAsia="Segoe UI"/>
          <w:i/>
          <w:iCs/>
          <w:color w:val="000000"/>
          <w:sz w:val="24"/>
          <w:lang w:val="en-US" w:eastAsia="en-US" w:bidi="en-US"/>
        </w:rPr>
        <w:t>: De acordo com o art. 95 da Lei nº 14.133/21, o termo de contrato é facultativo nas contratações fundadas no art. 75, incisos I e II (dispensa por valor) e no caso de compras com entrega imediata.</w:t>
      </w:r>
    </w:p>
    <w:p>
      <w:r>
        <w:rPr>
          <w:rFonts w:ascii="Liberation Serif" w:hAnsi="Liberation Serif" w:eastAsia="Segoe UI"/>
          <w:i/>
          <w:iCs/>
          <w:color w:val="000000"/>
          <w:sz w:val="24"/>
          <w:lang w:val="en-US" w:eastAsia="en-US" w:bidi="en-US"/>
        </w:rPr>
        <w:t>Assim, caso não haja termo de contrato, este poderá ser substituído por outros instrumentos hábeis, como carta contrato, nota de empenho de despesa ou autorização de compra, nos quais deve constar expressamente a vinculação à proposta e aos termos do aviso de dispensa. A redação do presente tópico procura abarcar ambas as hipóteses, sem prejuízo de eventuais ajustes que se façam necessários.</w:t>
      </w:r>
    </w:p>
  </w:comment>
  <w:comment w:id="12" w:author="Autor" w:date="0-00-00T00:00:00Z" w:initials="A">
    <w:p>
      <w:r>
        <w:rPr>
          <w:rFonts w:ascii="Liberation Serif" w:hAnsi="Liberation Serif" w:eastAsia="Segoe UI"/>
          <w:sz w:val="24"/>
          <w:lang w:val="en-US" w:eastAsia="en-US" w:bidi="en-US"/>
        </w:rPr>
      </w:r>
    </w:p>
  </w:comment>
  <w:comment w:id="11" w:author="Autor" w:date="0-00-00T00:00:00Z" w:initials="A">
    <w:p>
      <w:r>
        <w:rPr>
          <w:rFonts w:ascii="Liberation Serif" w:hAnsi="Liberation Serif" w:eastAsia="Segoe UI"/>
          <w:b/>
          <w:bCs/>
          <w:i/>
          <w:iCs/>
          <w:color w:val="000000"/>
          <w:sz w:val="24"/>
          <w:lang w:val="en-US" w:eastAsia="en-US" w:bidi="en-US"/>
        </w:rPr>
        <w:t xml:space="preserve">Nota Explicativa: </w:t>
      </w:r>
      <w:r>
        <w:rPr>
          <w:rFonts w:ascii="Liberation Serif" w:hAnsi="Liberation Serif" w:eastAsia="Segoe UI"/>
          <w:i/>
          <w:iCs/>
          <w:color w:val="000000"/>
          <w:sz w:val="24"/>
          <w:lang w:val="en-US" w:eastAsia="en-US" w:bidi="en-US"/>
        </w:rPr>
        <w:t>Utilizar este subitem no caso de haver o uso de nota de empenho ou instrumento assemelhado</w:t>
      </w:r>
    </w:p>
  </w:comment>
  <w:comment w:id="13" w:author="Autor" w:date="0-00-00T00:00:00Z" w:initials="A">
    <w:p>
      <w:r>
        <w:rPr>
          <w:rFonts w:ascii="Liberation Serif" w:hAnsi="Liberation Serif" w:eastAsia="Segoe UI"/>
          <w:b/>
          <w:bCs/>
          <w:sz w:val="24"/>
          <w:lang w:val="en-US" w:eastAsia="en-US" w:bidi="en-US"/>
        </w:rPr>
        <w:t>Notaexplicativa</w:t>
      </w:r>
      <w:r>
        <w:rPr>
          <w:rFonts w:ascii="Liberation Serif" w:hAnsi="Liberation Serif" w:eastAsia="Segoe UI"/>
          <w:color w:val="000000"/>
          <w:sz w:val="24"/>
          <w:lang w:val="en-US" w:eastAsia="en-US" w:bidi="en-US"/>
        </w:rPr>
        <w:t>: Nesse momento, deve haver a checagem da manutenção de todas as condições de habilitação, não se limitando apenas à consulta ao SICAF.</w:t>
      </w:r>
    </w:p>
  </w:comment>
  <w:comment w:id="14" w:author="Autor" w:date="0-00-00T00:00:00Z" w:initials="A">
    <w:p>
      <w:r>
        <w:rPr>
          <w:rFonts w:ascii="Liberation Serif" w:hAnsi="Liberation Serif" w:eastAsia="Segoe UI"/>
          <w:b/>
          <w:bCs/>
          <w:i/>
          <w:iCs/>
          <w:sz w:val="24"/>
          <w:lang w:val="en-US" w:eastAsia="en-US" w:bidi="en-US"/>
        </w:rPr>
        <w:t>Nota Explicativa:</w:t>
      </w:r>
      <w:r>
        <w:rPr>
          <w:rFonts w:ascii="Liberation Serif" w:hAnsi="Liberation Serif" w:eastAsia="Segoe UI"/>
          <w:i/>
          <w:iCs/>
          <w:sz w:val="24"/>
          <w:lang w:val="en-US" w:eastAsia="en-US" w:bidi="en-US"/>
        </w:rPr>
        <w:t xml:space="preserve"> Nos termos do art. 156, §3º da Lei nº 14.133/21, a multa deve ser prevista em percentual entre 0,5% e 30% do valor do contrato.</w:t>
      </w:r>
    </w:p>
  </w:comment>
  <w:comment w:id="15" w:author="Autor" w:date="0-00-00T00:00:00Z" w:initials="A">
    <w:p>
      <w:r>
        <w:rPr>
          <w:rFonts w:ascii="Liberation Serif" w:hAnsi="Liberation Serif" w:eastAsia="Segoe UI"/>
          <w:b/>
          <w:bCs/>
          <w:i/>
          <w:iCs/>
          <w:color w:val="000000"/>
          <w:sz w:val="24"/>
          <w:lang w:val="en-US" w:eastAsia="en-US" w:bidi="en-US"/>
        </w:rPr>
        <w:t>Nota explicativa 1:</w:t>
      </w:r>
      <w:r>
        <w:rPr>
          <w:rFonts w:ascii="Liberation Serif" w:hAnsi="Liberation Serif" w:eastAsia="Segoe UI"/>
          <w:i/>
          <w:iCs/>
          <w:color w:val="000000"/>
          <w:sz w:val="24"/>
          <w:lang w:val="en-US" w:eastAsia="en-US" w:bidi="en-US"/>
        </w:rPr>
        <w:t xml:space="preserve"> É fundamental que a Administração observe que exigências demasiadas poderão prejudicar a competitividade da dispensa e ofender o disposto no art. 37, XXI da Constituição Federal, o qual preceitua que “o processo de licitação pública... somente permitirá as exigências de qualificação técnica e econômica indispensáveis à garantia do cumprimento das obrigações”. Deve-se examinar, diante do caso concreto, se o objeto da contratação demanda a exigência de todos os requisitos de habilitação apresentados neste modelo, levando-se em consideração o vulto, a complexidade do objeto, a essencialidade do serviço e os riscos decorrentes de sua paralisação em função da eventual incapacidade econômica da contratada em suportar vicissitudes contratuais, excluindo-se o que entender excessivo. </w:t>
      </w:r>
    </w:p>
    <w:p>
      <w:r>
        <w:rPr>
          <w:rFonts w:ascii="Liberation Serif" w:hAnsi="Liberation Serif" w:eastAsia="Segoe UI"/>
          <w:i/>
          <w:iCs/>
          <w:color w:val="000000"/>
          <w:sz w:val="24"/>
          <w:lang w:val="en-US" w:eastAsia="en-US" w:bidi="en-US"/>
        </w:rPr>
        <w:t>Em dispensa dividida em itens, as exigências de habilitação podem adequar-se a essa divisibilidade (Súmula 247 do TCU), sendo possível, em um mesmo Aviso, a exigência de requisitos de habilitação mais amplos somente para alguns itens. Para se fazer isso, basta acrescentar uma ressalva ao final na exigência pertinente, tal como “(exigência relativa somente aos itens ...., ...., .....)”.</w:t>
      </w:r>
    </w:p>
    <w:p>
      <w:r>
        <w:rPr>
          <w:rFonts w:ascii="Liberation Serif" w:hAnsi="Liberation Serif" w:eastAsia="Segoe UI"/>
          <w:b/>
          <w:bCs/>
          <w:i/>
          <w:iCs/>
          <w:color w:val="000000"/>
          <w:sz w:val="24"/>
          <w:lang w:val="en-US" w:eastAsia="en-US" w:bidi="en-US"/>
        </w:rPr>
        <w:t>Nota Explicativa 2:</w:t>
      </w:r>
      <w:r>
        <w:rPr>
          <w:rFonts w:ascii="Liberation Serif" w:hAnsi="Liberation Serif" w:eastAsia="Segoe UI"/>
          <w:i/>
          <w:iCs/>
          <w:color w:val="000000"/>
          <w:sz w:val="24"/>
          <w:lang w:val="en-US" w:eastAsia="en-US" w:bidi="en-US"/>
        </w:rPr>
        <w:t xml:space="preserve"> Utilizar apenas a seção “Regularidade fiscal, social e trabalhista”, com a exclusão das demais previsões deste anexo, conforme art. 20 da IN SEGES/ME n º 67, de 2021 e art. 70 da Lei nº 14.133/21, nos seguintes casos: </w:t>
      </w:r>
    </w:p>
    <w:p>
      <w:r>
        <w:rPr>
          <w:rFonts w:ascii="Liberation Serif" w:hAnsi="Liberation Serif" w:eastAsia="Segoe UI"/>
          <w:i/>
          <w:iCs/>
          <w:color w:val="000000"/>
          <w:sz w:val="24"/>
          <w:lang w:val="en-US" w:eastAsia="en-US" w:bidi="en-US"/>
        </w:rPr>
        <w:t>a) Aquisições para entrega imediata, considerada aquela com prazo de entrega de até 30 (trinta) dias da ordem de fornecimento;</w:t>
      </w:r>
    </w:p>
    <w:p>
      <w:r>
        <w:rPr>
          <w:rFonts w:ascii="Liberation Serif" w:hAnsi="Liberation Serif" w:eastAsia="Segoe UI"/>
          <w:i/>
          <w:iCs/>
          <w:color w:val="000000"/>
          <w:sz w:val="24"/>
          <w:lang w:val="en-US" w:eastAsia="en-US" w:bidi="en-US"/>
        </w:rPr>
        <w:t>b) Contratações em valores inferiores a ¼ (um quarto) do limite para dispensa de licitação para compras em geral; e</w:t>
      </w:r>
    </w:p>
    <w:p>
      <w:r>
        <w:rPr>
          <w:rFonts w:ascii="Liberation Serif" w:hAnsi="Liberation Serif" w:eastAsia="Segoe UI"/>
          <w:i/>
          <w:iCs/>
          <w:color w:val="000000"/>
          <w:sz w:val="24"/>
          <w:lang w:val="en-US" w:eastAsia="en-US" w:bidi="en-US"/>
        </w:rPr>
        <w:t>c) Contratações de produtos para pesquisa e desenvolvimento, até o limite de R$300.000,00.</w:t>
      </w:r>
    </w:p>
  </w:comment>
  <w:comment w:id="16" w:author="Autor" w:date="0-00-00T00:00:00Z" w:initials="A">
    <w:p>
      <w:r>
        <w:rPr>
          <w:rFonts w:ascii="Liberation Serif" w:hAnsi="Liberation Serif" w:eastAsia="Segoe UI"/>
          <w:b/>
          <w:bCs/>
          <w:i/>
          <w:iCs/>
          <w:color w:val="000000"/>
          <w:sz w:val="24"/>
          <w:lang w:val="en-US" w:eastAsia="en-US" w:bidi="en-US"/>
        </w:rPr>
        <w:t>Nota explicativa:</w:t>
      </w:r>
      <w:r>
        <w:rPr>
          <w:rFonts w:ascii="Liberation Serif" w:hAnsi="Liberation Serif" w:eastAsia="Segoe UI"/>
          <w:i/>
          <w:iCs/>
          <w:color w:val="000000"/>
          <w:sz w:val="24"/>
          <w:lang w:val="en-US" w:eastAsia="en-US" w:bidi="en-US"/>
        </w:rPr>
        <w:t xml:space="preserve"> O artigo 193 do CTN preceitua que a prova da quitação de todos os tributos devidos dar-se-á no âmbito da Fazenda Pública interessada, relativos à atividade em cujo exercício contrata ou concorre. A comprovação de inscrição no cadastro de contribuinte e regularidade fiscal correspondente (estadual ou municipal) considerará a natureza da atividade, objeto da contratação. A exigência de inscrição no cadastro decorre do âmbito da tributação incidente sobre o objeto da contratação: tratando-se de serviços em geral ou obras, incide o ISS, tributo municipal; enquanto que para aquisições, incide o ICMS, tributo estadual. Alerte-se, apenas, que há serviços sobre os quais incide o ICMS (serviços de transporte intermunicipal e interestadual e serviços de comunicação).</w:t>
      </w:r>
    </w:p>
    <w:p>
      <w:r>
        <w:rPr>
          <w:rFonts w:ascii="Liberation Serif" w:hAnsi="Liberation Serif" w:eastAsia="Segoe UI"/>
          <w:i/>
          <w:iCs/>
          <w:color w:val="000000"/>
          <w:sz w:val="24"/>
          <w:lang w:val="en-US" w:eastAsia="en-US" w:bidi="en-US"/>
        </w:rPr>
        <w:t>Desse modo, cabe à Administração verificar a Fazenda interessada e ajustar os dois subitens acima de acordo.</w:t>
      </w:r>
    </w:p>
  </w:comment>
  <w:comment w:id="17" w:author="Autor" w:date="0-00-00T00:00:00Z" w:initials="A">
    <w:p>
      <w:r>
        <w:rPr>
          <w:rFonts w:ascii="Liberation Serif" w:hAnsi="Liberation Serif" w:eastAsia="Segoe UI"/>
          <w:b/>
          <w:bCs/>
          <w:i/>
          <w:iCs/>
          <w:color w:val="000000"/>
          <w:sz w:val="24"/>
          <w:lang w:val="en-US" w:eastAsia="en-US" w:bidi="en-US"/>
        </w:rPr>
        <w:t xml:space="preserve">Nota Explicativa: </w:t>
      </w:r>
      <w:r>
        <w:rPr>
          <w:rFonts w:ascii="Liberation Serif" w:hAnsi="Liberation Serif" w:eastAsia="Segoe UI"/>
          <w:i/>
          <w:iCs/>
          <w:color w:val="000000"/>
          <w:sz w:val="24"/>
          <w:lang w:val="en-US" w:eastAsia="en-US" w:bidi="en-US"/>
        </w:rPr>
        <w:t>É possível adotar critérios de habilitação econômico-financeira com outros requisitos além dos previstos abaixo, desde que estabelecidos conforme as peculiaridades do objeto a ser contratado, tornando-se necessário que exista justificativa do limite adotado nos autos do procedimento de contratação, na forma do art. 69 da Lei nº 14.133/21.</w:t>
      </w:r>
    </w:p>
    <w:p>
      <w:r>
        <w:rPr>
          <w:rFonts w:ascii="Liberation Serif" w:hAnsi="Liberation Serif" w:eastAsia="Segoe UI"/>
          <w:i/>
          <w:iCs/>
          <w:color w:val="000000"/>
          <w:sz w:val="24"/>
          <w:lang w:val="en-US" w:eastAsia="en-US" w:bidi="en-US"/>
        </w:rPr>
        <w:t>Ademais, na forma do art. 69, §3º, da Lei n.º 14.133/2021, poderá ser solicitada, mediante apresentação de justificativa  a luz do caso concreto, relação de compromissos assumidos pelo licitante que importem em diminuição de sua capacidade econômico-financeira, excluídas parcelas já executadas de contratos firmados, que serão executados concomitante ao objeto do contrato administrativo, com o objetivo de possibilitar posteriormente a execução do objeto.</w:t>
      </w:r>
    </w:p>
  </w:comment>
  <w:comment w:id="18" w:author="Autor" w:date="0-00-00T00:00:00Z" w:initials="A">
    <w:p>
      <w:r>
        <w:rPr>
          <w:rFonts w:ascii="Liberation Serif" w:hAnsi="Liberation Serif" w:eastAsia="Segoe UI"/>
          <w:b/>
          <w:bCs/>
          <w:i/>
          <w:iCs/>
          <w:color w:val="000000"/>
          <w:sz w:val="24"/>
          <w:lang w:val="en-US" w:eastAsia="en-US" w:bidi="en-US"/>
        </w:rPr>
        <w:t>Nota Explicativa:</w:t>
      </w:r>
      <w:r>
        <w:rPr>
          <w:rFonts w:ascii="Liberation Serif" w:hAnsi="Liberation Serif" w:eastAsia="Segoe UI"/>
          <w:i/>
          <w:iCs/>
          <w:color w:val="000000"/>
          <w:sz w:val="24"/>
          <w:lang w:val="en-US" w:eastAsia="en-US" w:bidi="en-US"/>
        </w:rPr>
        <w:t xml:space="preserve"> A fixação do percentual referente ao patrimônio líquido se insere na esfera de atuação discricionária da Administração até o limite legal de 10% (dez por cento) do valor estimado da contratação (art. 69, § 4º da Lei nº 14.133, de 2021).</w:t>
      </w:r>
    </w:p>
  </w:comment>
  <w:comment w:id="19" w:author="Autor" w:date="0-00-00T00:00:00Z" w:initials="A">
    <w:p>
      <w:r>
        <w:rPr>
          <w:rFonts w:ascii="Liberation Serif" w:hAnsi="Liberation Serif" w:eastAsia="Segoe UI"/>
          <w:b/>
          <w:bCs/>
          <w:i/>
          <w:iCs/>
          <w:color w:val="000000"/>
          <w:sz w:val="24"/>
          <w:lang w:val="en-US" w:eastAsia="en-US" w:bidi="en-US"/>
        </w:rPr>
        <w:t xml:space="preserve">Nota Explicativa: </w:t>
      </w:r>
      <w:r>
        <w:rPr>
          <w:rFonts w:ascii="Liberation Serif" w:hAnsi="Liberation Serif" w:eastAsia="Segoe UI"/>
          <w:i/>
          <w:iCs/>
          <w:color w:val="000000"/>
          <w:sz w:val="24"/>
          <w:lang w:val="en-US" w:eastAsia="en-US" w:bidi="en-US"/>
        </w:rPr>
        <w:t xml:space="preserve">Já se indicou no início que a documentação de habilitação é passível de adaptações pela área demandante ante o tipo de contratação que se pretende fazer. Essa observação é ainda mais aplicável quando se fala em qualificação técnica, já que esta variará bastante conforme o caso, desde uma aquisição até uma obra. A redação ora apresentada visa a dispor sobre as possibilidades gerais trazidas pela lei, mas a área competente do órgão contratante deverá, </w:t>
      </w:r>
      <w:r>
        <w:rPr>
          <w:rFonts w:ascii="Liberation Serif" w:hAnsi="Liberation Serif" w:eastAsia="Segoe UI"/>
          <w:b/>
          <w:bCs/>
          <w:i/>
          <w:iCs/>
          <w:color w:val="000000"/>
          <w:sz w:val="24"/>
          <w:u w:val="single"/>
          <w:lang w:val="en-US" w:eastAsia="en-US" w:bidi="en-US"/>
        </w:rPr>
        <w:t>NECESSARIAMENTE</w:t>
      </w:r>
      <w:r>
        <w:rPr>
          <w:rFonts w:ascii="Liberation Serif" w:hAnsi="Liberation Serif" w:eastAsia="Segoe UI"/>
          <w:i/>
          <w:iCs/>
          <w:color w:val="000000"/>
          <w:sz w:val="24"/>
          <w:lang w:val="en-US" w:eastAsia="en-US" w:bidi="en-US"/>
        </w:rPr>
        <w:t xml:space="preserve">, ajustar </w:t>
      </w:r>
      <w:r>
        <w:rPr>
          <w:rFonts w:ascii="Liberation Serif" w:hAnsi="Liberation Serif" w:eastAsia="Segoe UI"/>
          <w:b/>
          <w:bCs/>
          <w:i/>
          <w:iCs/>
          <w:color w:val="000000"/>
          <w:sz w:val="24"/>
          <w:u w:val="single"/>
          <w:lang w:val="en-US" w:eastAsia="en-US" w:bidi="en-US"/>
        </w:rPr>
        <w:t>TODAS</w:t>
      </w:r>
      <w:r>
        <w:rPr>
          <w:rFonts w:ascii="Liberation Serif" w:hAnsi="Liberation Serif" w:eastAsia="Segoe UI"/>
          <w:i/>
          <w:iCs/>
          <w:color w:val="000000"/>
          <w:sz w:val="24"/>
          <w:lang w:val="en-US" w:eastAsia="en-US" w:bidi="en-US"/>
        </w:rPr>
        <w:t xml:space="preserve"> as cláusulas aqui presentes à realidade de sua demanda específica, justificadamente.</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swiss"/>
    <w:pitch w:val="variable"/>
  </w:font>
  <w:font w:name="Rawline">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center" w:pos="4550" w:leader="none"/>
        <w:tab w:val="left" w:pos="5818" w:leader="none"/>
      </w:tabs>
      <w:ind w:right="260" w:hanging="0"/>
      <w:jc w:val="right"/>
      <w:rPr>
        <w:color w:val="8496B0" w:themeColor="text2" w:themeTint="99"/>
        <w:spacing w:val="60"/>
        <w:sz w:val="24"/>
      </w:rPr>
    </w:pPr>
    <w:r>
      <w:rPr>
        <w:color w:val="8496B0" w:themeColor="text2" w:themeTint="99"/>
        <w:spacing w:val="60"/>
        <w:sz w:val="24"/>
      </w:rPr>
    </w:r>
  </w:p>
  <w:p>
    <w:pPr>
      <w:pStyle w:val="Normal"/>
      <w:tabs>
        <w:tab w:val="clear" w:pos="708"/>
        <w:tab w:val="center" w:pos="4550" w:leader="none"/>
        <w:tab w:val="left" w:pos="5818" w:leader="none"/>
      </w:tabs>
      <w:ind w:right="260" w:hanging="0"/>
      <w:jc w:val="right"/>
      <w:rPr>
        <w:color w:val="222A35" w:themeColor="text2" w:themeShade="80"/>
        <w:sz w:val="22"/>
        <w:szCs w:val="22"/>
      </w:rPr>
    </w:pPr>
    <w:r>
      <w:rPr>
        <w:color w:val="8496B0" w:themeColor="text2" w:themeTint="99"/>
        <w:spacing w:val="60"/>
        <w:sz w:val="22"/>
        <w:szCs w:val="22"/>
      </w:rPr>
      <w:t>Página</w:t>
    </w:r>
    <w:r>
      <w:rPr>
        <w:color w:val="323E4F"/>
        <w:sz w:val="22"/>
        <w:szCs w:val="22"/>
      </w:rPr>
      <w:fldChar w:fldCharType="begin"/>
    </w:r>
    <w:r>
      <w:rPr>
        <w:sz w:val="22"/>
        <w:szCs w:val="22"/>
        <w:color w:val="323E4F"/>
      </w:rPr>
      <w:instrText> PAGE </w:instrText>
    </w:r>
    <w:r>
      <w:rPr>
        <w:sz w:val="22"/>
        <w:szCs w:val="22"/>
        <w:color w:val="323E4F"/>
      </w:rPr>
      <w:fldChar w:fldCharType="separate"/>
    </w:r>
    <w:r>
      <w:rPr>
        <w:sz w:val="22"/>
        <w:szCs w:val="22"/>
        <w:color w:val="323E4F"/>
      </w:rPr>
      <w:t>19</w:t>
    </w:r>
    <w:r>
      <w:rPr>
        <w:sz w:val="22"/>
        <w:szCs w:val="22"/>
        <w:color w:val="323E4F"/>
      </w:rPr>
      <w:fldChar w:fldCharType="end"/>
    </w:r>
    <w:r>
      <w:rPr>
        <w:color w:val="323E4F" w:themeColor="text2" w:themeShade="bf"/>
        <w:sz w:val="22"/>
        <w:szCs w:val="22"/>
      </w:rPr>
      <w:t xml:space="preserve"> | </w:t>
    </w:r>
    <w:r>
      <w:rPr>
        <w:color w:val="323E4F"/>
        <w:sz w:val="22"/>
        <w:szCs w:val="22"/>
      </w:rPr>
      <w:fldChar w:fldCharType="begin"/>
    </w:r>
    <w:r>
      <w:rPr>
        <w:sz w:val="22"/>
        <w:szCs w:val="22"/>
        <w:color w:val="323E4F"/>
      </w:rPr>
      <w:instrText> NUMPAGES </w:instrText>
    </w:r>
    <w:r>
      <w:rPr>
        <w:sz w:val="22"/>
        <w:szCs w:val="22"/>
        <w:color w:val="323E4F"/>
      </w:rPr>
      <w:fldChar w:fldCharType="separate"/>
    </w:r>
    <w:r>
      <w:rPr>
        <w:sz w:val="22"/>
        <w:szCs w:val="22"/>
        <w:color w:val="323E4F"/>
      </w:rPr>
      <w:t>19</w:t>
    </w:r>
    <w:r>
      <w:rPr>
        <w:sz w:val="22"/>
        <w:szCs w:val="22"/>
        <w:color w:val="323E4F"/>
      </w:rPr>
      <w:fldChar w:fldCharType="end"/>
    </w:r>
  </w:p>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Dispensa Eletrônica – Lei nº 14.133/21 e IN SEGES/ME nº 67/2021</w:t>
    </w:r>
  </w:p>
  <w:p>
    <w:pPr>
      <w:pStyle w:val="Rodap"/>
      <w:rPr>
        <w:sz w:val="12"/>
        <w:szCs w:val="12"/>
      </w:rPr>
    </w:pPr>
    <w:r>
      <w:rPr>
        <w:sz w:val="12"/>
        <w:szCs w:val="12"/>
      </w:rPr>
      <w:t>Versão: Agosto/2021</w:t>
    </w:r>
  </w:p>
  <w:p>
    <w:pPr>
      <w:pStyle w:val="Rodap"/>
      <w:rPr>
        <w:sz w:val="12"/>
        <w:szCs w:val="12"/>
      </w:rPr>
    </w:pPr>
    <w:r>
      <w:rPr>
        <w:sz w:val="12"/>
        <w:szCs w:val="12"/>
      </w:rPr>
      <w:t>Aprovado pela Secretaria de Gestão.</w:t>
    </w:r>
  </w:p>
  <w:p>
    <w:pPr>
      <w:pStyle w:val="Rodap"/>
      <w:rPr/>
    </w:pPr>
    <w:r>
      <w:rPr>
        <w:sz w:val="12"/>
        <w:szCs w:val="12"/>
      </w:rPr>
      <w:t>Identidade visual pela Secretaria de Gestão (versão maio/2022)</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pPr>
    <w:r>
      <w:rPr/>
      <w:drawing>
        <wp:anchor behindDoc="1" distT="0" distB="0" distL="0" distR="0" simplePos="0" locked="0" layoutInCell="0" allowOverlap="1" relativeHeight="19">
          <wp:simplePos x="0" y="0"/>
          <wp:positionH relativeFrom="column">
            <wp:posOffset>-699135</wp:posOffset>
          </wp:positionH>
          <wp:positionV relativeFrom="paragraph">
            <wp:posOffset>-349885</wp:posOffset>
          </wp:positionV>
          <wp:extent cx="7560310" cy="10698480"/>
          <wp:effectExtent l="0" t="0" r="0" b="0"/>
          <wp:wrapNone/>
          <wp:docPr id="1" name="Imagem 1" descr="Padrão do plano de fund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Padrão do plano de fundo&#10;&#10;Descrição gerada automaticamente"/>
                  <pic:cNvPicPr>
                    <a:picLocks noChangeAspect="1" noChangeArrowheads="1"/>
                  </pic:cNvPicPr>
                </pic:nvPicPr>
                <pic:blipFill>
                  <a:blip r:embed="rId1"/>
                  <a:stretch>
                    <a:fillRect/>
                  </a:stretch>
                </pic:blipFill>
                <pic:spPr bwMode="auto">
                  <a:xfrm>
                    <a:off x="0" y="0"/>
                    <a:ext cx="7560310" cy="10698480"/>
                  </a:xfrm>
                  <a:prstGeom prst="rect">
                    <a:avLst/>
                  </a:prstGeom>
                </pic:spPr>
              </pic:pic>
            </a:graphicData>
          </a:graphic>
        </wp:anchor>
      </w:drawing>
      <w:fldChar w:fldCharType="begin"/>
    </w:r>
    <w:r>
      <w:rPr/>
      <w:instrText> FILENAME </w:instrText>
    </w:r>
    <w:r>
      <w:rPr/>
      <w:fldChar w:fldCharType="separate"/>
    </w:r>
    <w:r>
      <w:rPr/>
      <w:t>11. minuta_aviso_de_dispensa_eletronica_Enilson.docx</w:t>
    </w:r>
    <w:r>
      <w:rPr/>
      <w:fldChar w:fldCharType="end"/>
    </w:r>
  </w:p>
  <w:p>
    <w:pPr>
      <w:pStyle w:val="Cabealho"/>
      <w:rPr/>
    </w:pPr>
    <w:r>
      <w:rPr/>
    </w:r>
  </w:p>
  <w:p>
    <w:pPr>
      <w:pStyle w:val="Cabealho"/>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r>
  </w:p>
  <w:p>
    <w:pPr>
      <w:pStyle w:val="Cabealho"/>
      <w:rPr/>
    </w:pPr>
    <w:r>
      <w:rPr/>
      <w:drawing>
        <wp:anchor behindDoc="1" distT="0" distB="0" distL="0" distR="0" simplePos="0" locked="0" layoutInCell="0" allowOverlap="1" relativeHeight="20">
          <wp:simplePos x="0" y="0"/>
          <wp:positionH relativeFrom="page">
            <wp:posOffset>12700</wp:posOffset>
          </wp:positionH>
          <wp:positionV relativeFrom="page">
            <wp:posOffset>17145</wp:posOffset>
          </wp:positionV>
          <wp:extent cx="7560310" cy="10692765"/>
          <wp:effectExtent l="0" t="0" r="0" b="0"/>
          <wp:wrapNone/>
          <wp:docPr id="2"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765"/>
                  </a:xfrm>
                  <a:prstGeom prst="rect">
                    <a:avLst/>
                  </a:prstGeom>
                </pic:spPr>
              </pic:pic>
            </a:graphicData>
          </a:graphic>
        </wp:anchor>
      </w:drawing>
    </w:r>
  </w:p>
  <w:p>
    <w:pPr>
      <w:pStyle w:val="Cabealho"/>
      <w:rPr/>
    </w:pPr>
    <w:r>
      <w:rPr/>
    </w:r>
  </w:p>
  <w:p>
    <w:pPr>
      <w:pStyle w:val="Cabealho"/>
      <w:rPr/>
    </w:pPr>
    <w:r>
      <w:rPr/>
    </w:r>
  </w:p>
  <w:p>
    <w:pPr>
      <w:pStyle w:val="Cabealho"/>
      <w:rPr/>
    </w:pPr>
    <w:r>
      <w:rPr/>
    </w:r>
  </w:p>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3">
    <w:lvl w:ilvl="0">
      <w:start w:val="1"/>
      <w:numFmt w:val="decimal"/>
      <w:lvlText w:val="%1"/>
      <w:lvlJc w:val="left"/>
      <w:pPr>
        <w:tabs>
          <w:tab w:val="num" w:pos="0"/>
        </w:tabs>
        <w:ind w:left="360" w:hanging="360"/>
      </w:pPr>
    </w:lvl>
    <w:lvl w:ilvl="1">
      <w:start w:val="1"/>
      <w:numFmt w:val="decimal"/>
      <w:lvlText w:val="%1.%2"/>
      <w:lvlJc w:val="left"/>
      <w:pPr>
        <w:tabs>
          <w:tab w:val="num" w:pos="0"/>
        </w:tabs>
        <w:ind w:left="927" w:hanging="360"/>
      </w:pPr>
      <w:rPr>
        <w:b w:val="false"/>
      </w:rPr>
    </w:lvl>
    <w:lvl w:ilvl="2">
      <w:start w:val="1"/>
      <w:numFmt w:val="decimal"/>
      <w:lvlText w:val="%1.%2.%3"/>
      <w:lvlJc w:val="left"/>
      <w:pPr>
        <w:tabs>
          <w:tab w:val="num" w:pos="0"/>
        </w:tabs>
        <w:ind w:left="1854" w:hanging="720"/>
      </w:pPr>
      <w:rPr>
        <w:b w:val="false"/>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80"/>
  <w:defaultTabStop w:val="708"/>
  <w:autoHyphenation w:val="true"/>
  <w:compat>
    <w:compatSetting w:name="compatibilityMode" w:uri="http://schemas.microsoft.com/office/word" w:val="12"/>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0"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d0e1a"/>
    <w:pPr>
      <w:widowControl/>
      <w:suppressAutoHyphens w:val="true"/>
      <w:bidi w:val="0"/>
      <w:spacing w:before="0" w:after="0"/>
      <w:jc w:val="left"/>
    </w:pPr>
    <w:rPr>
      <w:rFonts w:ascii="Arial" w:hAnsi="Arial" w:eastAsia="Times New Roman" w:cs="Tahoma"/>
      <w:color w:val="auto"/>
      <w:kern w:val="0"/>
      <w:sz w:val="20"/>
      <w:szCs w:val="24"/>
      <w:lang w:eastAsia="pt-BR" w:val="pt-BR" w:bidi="ar-SA"/>
    </w:rPr>
  </w:style>
  <w:style w:type="paragraph" w:styleId="Ttulo1" w:customStyle="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Citao"/>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link w:val="Heading1"/>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Textodecomentrio"/>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ssuntodocomentrio"/>
    <w:uiPriority w:val="99"/>
    <w:semiHidden/>
    <w:qFormat/>
    <w:rsid w:val="003d08af"/>
    <w:rPr>
      <w:rFonts w:ascii="Arial" w:hAnsi="Arial" w:eastAsia="Times New Roman" w:cs="Tahoma"/>
      <w:b/>
      <w:bCs/>
      <w:sz w:val="20"/>
      <w:szCs w:val="20"/>
      <w:lang w:eastAsia="pt-BR"/>
    </w:rPr>
  </w:style>
  <w:style w:type="character" w:styleId="LinkdaInternet" w:customStyle="1">
    <w:name w:val="Link da Internet"/>
    <w:uiPriority w:val="99"/>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Textodebalo"/>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link w:val="Header"/>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link w:val="Footer"/>
    <w:uiPriority w:val="99"/>
    <w:qFormat/>
    <w:rsid w:val="00805244"/>
    <w:rPr>
      <w:rFonts w:ascii="Arial" w:hAnsi="Arial" w:eastAsia="Times New Roman" w:cs="Tahoma"/>
      <w:sz w:val="20"/>
      <w:szCs w:val="24"/>
      <w:lang w:eastAsia="pt-BR"/>
    </w:rPr>
  </w:style>
  <w:style w:type="character" w:styleId="UnresolvedMention" w:customStyle="1">
    <w:name w:val="Unresolved Mention"/>
    <w:basedOn w:val="DefaultParagraphFont"/>
    <w:uiPriority w:val="99"/>
    <w:semiHidden/>
    <w:unhideWhenUsed/>
    <w:qFormat/>
    <w:rsid w:val="009c2bd5"/>
    <w:rPr>
      <w:color w:val="605E5C"/>
      <w:shd w:fill="E1DFDD" w:val="clear"/>
    </w:rPr>
  </w:style>
  <w:style w:type="character" w:styleId="TtuloChar" w:customStyle="1">
    <w:name w:val="Título Char"/>
    <w:basedOn w:val="DefaultParagraphFont"/>
    <w:link w:val="Ttulo"/>
    <w:uiPriority w:val="10"/>
    <w:qFormat/>
    <w:rsid w:val="000453ab"/>
    <w:rPr>
      <w:rFonts w:ascii="Calibri Light" w:hAnsi="Calibri Light" w:eastAsia="" w:cs="" w:asciiTheme="majorHAnsi" w:cstheme="majorBidi" w:eastAsiaTheme="majorEastAsia" w:hAnsiTheme="majorHAnsi"/>
      <w:spacing w:val="-10"/>
      <w:kern w:val="2"/>
      <w:sz w:val="56"/>
      <w:szCs w:val="56"/>
      <w:lang w:eastAsia="pt-BR"/>
    </w:rPr>
  </w:style>
  <w:style w:type="character" w:styleId="Vnculodendice" w:customStyle="1">
    <w:name w:val="Vínculo de índice"/>
    <w:qFormat/>
    <w:rsid w:val="009166b3"/>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rsid w:val="009166b3"/>
    <w:pPr>
      <w:spacing w:lineRule="auto" w:line="276" w:before="0" w:after="140"/>
    </w:pPr>
    <w:rPr/>
  </w:style>
  <w:style w:type="paragraph" w:styleId="Lista">
    <w:name w:val="List"/>
    <w:basedOn w:val="Corpodotexto"/>
    <w:rsid w:val="009166b3"/>
    <w:pPr/>
    <w:rPr>
      <w:rFonts w:cs="Lucida Sans"/>
    </w:rPr>
  </w:style>
  <w:style w:type="paragraph" w:styleId="Legenda" w:customStyle="1">
    <w:name w:val="Caption"/>
    <w:basedOn w:val="Normal"/>
    <w:qFormat/>
    <w:rsid w:val="009166b3"/>
    <w:pPr>
      <w:suppressLineNumbers/>
      <w:spacing w:before="120" w:after="120"/>
    </w:pPr>
    <w:rPr>
      <w:rFonts w:cs="Lucida Sans"/>
      <w:i/>
      <w:iCs/>
      <w:sz w:val="24"/>
    </w:rPr>
  </w:style>
  <w:style w:type="paragraph" w:styleId="Ndice" w:customStyle="1">
    <w:name w:val="Índice"/>
    <w:basedOn w:val="Normal"/>
    <w:qFormat/>
    <w:rsid w:val="009166b3"/>
    <w:pPr>
      <w:suppressLineNumbers/>
    </w:pPr>
    <w:rPr>
      <w:rFonts w:cs="Lucida Sans"/>
    </w:rPr>
  </w:style>
  <w:style w:type="paragraph" w:styleId="Ttulododocumento">
    <w:name w:val="Title"/>
    <w:basedOn w:val="Normal"/>
    <w:next w:val="Corpodotexto"/>
    <w:link w:val="TtuloChar"/>
    <w:uiPriority w:val="10"/>
    <w:qFormat/>
    <w:rsid w:val="000453ab"/>
    <w:pPr>
      <w:spacing w:before="0" w:after="0"/>
      <w:contextualSpacing/>
    </w:pPr>
    <w:rPr>
      <w:rFonts w:ascii="Calibri Light" w:hAnsi="Calibri Light" w:eastAsia="" w:cs="" w:asciiTheme="majorHAnsi" w:cstheme="majorBidi" w:eastAsiaTheme="majorEastAsia" w:hAnsiTheme="majorHAnsi"/>
      <w:spacing w:val="-10"/>
      <w:kern w:val="2"/>
      <w:sz w:val="56"/>
      <w:szCs w:val="56"/>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outlineLvl w:val="9"/>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qFormat/>
    <w:rsid w:val="006a70c8"/>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next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outlineLvl w:val="9"/>
    </w:pPr>
    <w:rPr>
      <w:rFonts w:ascii="Arial" w:hAnsi="Arial" w:cs="Times New Roman"/>
      <w:b/>
      <w:color w:val="000000"/>
      <w:sz w:val="20"/>
      <w:szCs w:val="20"/>
    </w:rPr>
  </w:style>
  <w:style w:type="paragraph" w:styleId="Nivel2" w:customStyle="1">
    <w:name w:val="Nivel 2"/>
    <w:qFormat/>
    <w:rsid w:val="002f5eff"/>
    <w:pPr>
      <w:widowControl/>
      <w:tabs>
        <w:tab w:val="clear" w:pos="708"/>
        <w:tab w:val="left" w:pos="0" w:leader="none"/>
      </w:tabs>
      <w:suppressAutoHyphens w:val="true"/>
      <w:bidi w:val="0"/>
      <w:spacing w:lineRule="auto" w:line="276" w:before="120" w:after="120"/>
      <w:ind w:left="502" w:hanging="360"/>
      <w:jc w:val="both"/>
    </w:pPr>
    <w:rPr>
      <w:rFonts w:ascii="Ecofont_Spranq_eco_Sans" w:hAnsi="Ecofont_Spranq_eco_Sans" w:eastAsia="Arial Unicode MS" w:cs="Times New Roman"/>
      <w:color w:val="auto"/>
      <w:kern w:val="0"/>
      <w:sz w:val="20"/>
      <w:szCs w:val="20"/>
      <w:lang w:eastAsia="pt-BR" w:val="pt-BR" w:bidi="ar-SA"/>
    </w:rPr>
  </w:style>
  <w:style w:type="paragraph" w:styleId="Nivel11" w:customStyle="1">
    <w:name w:val="Nivel 1"/>
    <w:basedOn w:val="Nivel2"/>
    <w:next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left" w:pos="0" w:leader="none"/>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customStyle="1">
    <w:name w:val="Cabeçalho e Rodapé"/>
    <w:basedOn w:val="Normal"/>
    <w:qFormat/>
    <w:rsid w:val="009166b3"/>
    <w:pPr/>
    <w:rPr/>
  </w:style>
  <w:style w:type="paragraph" w:styleId="Cabealho" w:customStyle="1">
    <w:name w:val="Header"/>
    <w:basedOn w:val="Normal"/>
    <w:link w:val="CabealhoChar"/>
    <w:uiPriority w:val="99"/>
    <w:unhideWhenUsed/>
    <w:rsid w:val="00805244"/>
    <w:pPr>
      <w:tabs>
        <w:tab w:val="clear" w:pos="708"/>
        <w:tab w:val="center" w:pos="4252" w:leader="none"/>
        <w:tab w:val="right" w:pos="8504" w:leader="none"/>
      </w:tabs>
    </w:pPr>
    <w:rPr/>
  </w:style>
  <w:style w:type="paragraph" w:styleId="Rodap" w:customStyle="1">
    <w:name w:val="Footer"/>
    <w:basedOn w:val="Normal"/>
    <w:link w:val="RodapChar"/>
    <w:uiPriority w:val="99"/>
    <w:unhideWhenUsed/>
    <w:rsid w:val="00805244"/>
    <w:pPr>
      <w:tabs>
        <w:tab w:val="clear" w:pos="708"/>
        <w:tab w:val="center" w:pos="4252" w:leader="none"/>
        <w:tab w:val="right" w:pos="8504" w:leader="none"/>
      </w:tabs>
    </w:pPr>
    <w:rPr/>
  </w:style>
  <w:style w:type="paragraph" w:styleId="TOCHeading">
    <w:name w:val="TOC Heading"/>
    <w:basedOn w:val="Ttulo1"/>
    <w:next w:val="Normal"/>
    <w:uiPriority w:val="39"/>
    <w:unhideWhenUsed/>
    <w:qFormat/>
    <w:rsid w:val="009a58ef"/>
    <w:pPr>
      <w:spacing w:lineRule="auto" w:line="259"/>
      <w:outlineLvl w:val="9"/>
    </w:pPr>
    <w:rPr/>
  </w:style>
  <w:style w:type="paragraph" w:styleId="Sumrio1" w:customStyle="1">
    <w:name w:val="TOC 1"/>
    <w:basedOn w:val="Normal"/>
    <w:next w:val="Normal"/>
    <w:autoRedefine/>
    <w:uiPriority w:val="39"/>
    <w:unhideWhenUsed/>
    <w:rsid w:val="00441059"/>
    <w:pPr>
      <w:spacing w:before="0" w:after="100"/>
    </w:pPr>
    <w:rPr/>
  </w:style>
  <w:style w:type="paragraph" w:styleId="NormalWeb">
    <w:name w:val="Normal (Web)"/>
    <w:basedOn w:val="Normal"/>
    <w:uiPriority w:val="99"/>
    <w:semiHidden/>
    <w:unhideWhenUsed/>
    <w:qFormat/>
    <w:rsid w:val="00ec1f6d"/>
    <w:pPr>
      <w:suppressAutoHyphens w:val="false"/>
      <w:spacing w:lineRule="auto" w:line="288" w:beforeAutospacing="1" w:after="142"/>
    </w:pPr>
    <w:rPr>
      <w:rFonts w:ascii="Times New Roman" w:hAnsi="Times New Roman" w:cs="Times New Roman"/>
      <w:sz w:val="24"/>
    </w:rPr>
  </w:style>
  <w:style w:type="numbering" w:styleId="NoList" w:default="1">
    <w:name w:val="No List"/>
    <w:uiPriority w:val="99"/>
    <w:semiHidden/>
    <w:unhideWhenUsed/>
    <w:qFormat/>
  </w:style>
  <w:style w:type="table" w:default="1" w:styleId="Tabelanormal">
    <w:name w:val="Normal Table"/>
    <w:uiPriority w:val="99"/>
    <w:semiHidden/>
    <w:unhideWhenUsed/>
    <w:qFormat/>
    <w:tblPr>
      <w:tblCellMar>
        <w:top w:w="0" w:type="dxa"/>
        <w:left w:w="108" w:type="dxa"/>
        <w:bottom w:w="0" w:type="dxa"/>
        <w:right w:w="108" w:type="dxa"/>
      </w:tblCellMar>
    </w:tblPr>
  </w:style>
  <w:style w:type="table" w:styleId="Tabelacomgrade">
    <w:name w:val="Table Grid"/>
    <w:basedOn w:val="Tabelanormal"/>
    <w:rsid w:val="002f5eff"/>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comments.xml.rels><?xml version="1.0" encoding="UTF-8"?>
<Relationships xmlns="http://schemas.openxmlformats.org/package/2006/relationships"><Relationship Id="rId1" Type="http://schemas.openxmlformats.org/officeDocument/2006/relationships/hyperlink" Target="mailto:cgu.modeloscontratacao@agu.gov.br"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1.xml"/><Relationship Id="rId8" Type="http://schemas.openxmlformats.org/officeDocument/2006/relationships/comments" Target="comment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Relationship Id="rId15" Type="http://schemas.openxmlformats.org/officeDocument/2006/relationships/customXml" Target="../customXml/item3.xml"/><Relationship Id="rId16" Type="http://schemas.openxmlformats.org/officeDocument/2006/relationships/customXml" Target="../customXml/item4.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D6537D-CAD8-4A7D-A68C-9F13AC072F5F}">
  <ds:schemaRefs>
    <ds:schemaRef ds:uri="http://schemas.openxmlformats.org/officeDocument/2006/bibliography"/>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42E802D5-3E3C-457C-A882-A5828C40F41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4.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Application>LibreOffice/7.2.2.2$Windows_X86_64 LibreOffice_project/02b2acce88a210515b4a5bb2e46cbfb63fe97d56</Application>
  <AppVersion>15.0000</AppVersion>
  <Pages>19</Pages>
  <Words>5400</Words>
  <Characters>31085</Characters>
  <CharactersWithSpaces>36064</CharactersWithSpaces>
  <Paragraphs>279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2022-06-03T17:31:00Z</dcterms:created>
  <dc:creator/>
  <dc:description/>
  <dc:language>pt-BR</dc:language>
  <cp:lastModifiedBy/>
  <dcterms:modified xsi:type="dcterms:W3CDTF">2023-07-04T16:15:28Z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